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8824CFA" wp14:paraId="41CF6892" wp14:textId="32B2297E">
      <w:pPr>
        <w:pStyle w:val="Heading1"/>
        <w:keepNext w:val="1"/>
        <w:keepLines w:val="1"/>
        <w:pBdr>
          <w:top w:val="single" w:color="0E2841" w:sz="4" w:space="1"/>
          <w:bottom w:val="single" w:color="0E2841" w:sz="4" w:space="1"/>
        </w:pBdr>
        <w:spacing w:before="360" w:after="80" w:line="259" w:lineRule="auto"/>
        <w:ind w:left="0" w:hanging="10" w:firstLine="0"/>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pPr>
      <w:r w:rsidRPr="08824CFA" w:rsidR="29469648">
        <w:rPr>
          <w:rFonts w:ascii="Aptos Display" w:hAnsi="Aptos Display" w:eastAsia="Aptos Display" w:cs="Aptos Display"/>
          <w:b w:val="0"/>
          <w:bCs w:val="0"/>
          <w:i w:val="0"/>
          <w:iCs w:val="0"/>
          <w:caps w:val="0"/>
          <w:smallCaps w:val="0"/>
          <w:noProof w:val="0"/>
          <w:color w:val="0F4761" w:themeColor="accent1" w:themeTint="FF" w:themeShade="BF"/>
          <w:sz w:val="32"/>
          <w:szCs w:val="32"/>
          <w:lang w:val="en-GB"/>
        </w:rPr>
        <w:t>10a.</w:t>
      </w:r>
      <w:r>
        <w:tab/>
      </w:r>
      <w:r w:rsidRPr="08824CFA" w:rsidR="29469648">
        <w:rPr>
          <w:rFonts w:ascii="Aptos Display" w:hAnsi="Aptos Display" w:eastAsia="Aptos Display" w:cs="Aptos Display"/>
          <w:b w:val="0"/>
          <w:bCs w:val="0"/>
          <w:i w:val="0"/>
          <w:iCs w:val="0"/>
          <w:caps w:val="0"/>
          <w:smallCaps w:val="0"/>
          <w:noProof w:val="0"/>
          <w:color w:val="0F4761" w:themeColor="accent1" w:themeTint="FF" w:themeShade="BF"/>
          <w:sz w:val="32"/>
          <w:szCs w:val="32"/>
          <w:lang w:val="en-GB"/>
        </w:rPr>
        <w:t xml:space="preserve">Indicative Content  </w:t>
      </w:r>
    </w:p>
    <w:p xmlns:wp14="http://schemas.microsoft.com/office/word/2010/wordml" w:rsidP="08824CFA" wp14:paraId="4E528B32" wp14:textId="3FDB197D">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The indicative content in Section 10 does not cover all teaching/instructing possibilities and is not intended to be prescriptive. The educator </w:t>
      </w:r>
      <w:r w:rsidRPr="08824CFA" w:rsidR="29469648">
        <w:rPr>
          <w:rFonts w:ascii="Aptos" w:hAnsi="Aptos" w:eastAsia="Aptos" w:cs="Aptos"/>
          <w:b w:val="0"/>
          <w:bCs w:val="0"/>
          <w:i w:val="0"/>
          <w:iCs w:val="0"/>
          <w:caps w:val="0"/>
          <w:smallCaps w:val="0"/>
          <w:noProof w:val="0"/>
          <w:color w:val="000000" w:themeColor="text1" w:themeTint="FF" w:themeShade="FF"/>
          <w:sz w:val="22"/>
          <w:szCs w:val="22"/>
          <w:vertAlign w:val="superscript"/>
          <w:lang w:val="en-GB"/>
        </w:rPr>
        <w:t>3</w:t>
      </w: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is encouraged to be creative in devising and implementing other approaches, as appropriate. The use of examples is there to provide suggestions. The educator is free to use other examples, as appropriate. The indicative content ensures all MIMLOs are addressed but it may not follow the same sequence as that in which the MIMLOs are listed in Section 9. It is the educator's responsibility to ensure that all MIMLOs are included in the delivery of this module. </w:t>
      </w:r>
    </w:p>
    <w:p xmlns:wp14="http://schemas.microsoft.com/office/word/2010/wordml" w:rsidP="08824CFA" wp14:paraId="3EE3F6FF" wp14:textId="472B9907">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08824CFA" wp14:paraId="505F05C0" wp14:textId="14F4D1D3">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Educators delivering this module as part of a CAS Major or special purpose award should ensure that the content is focused on the specific vocational field of learning of the target award.  The module can be delivered through classroom-based learning activities, group discussions, one-to-one tutorials, self-directed learning, research, case studies, role play and other suitable and creative activities, as appropriate to the learner group, and can be adapted to suit the context of the overall award. </w:t>
      </w:r>
    </w:p>
    <w:p xmlns:wp14="http://schemas.microsoft.com/office/word/2010/wordml" w:rsidP="08824CFA" wp14:paraId="6EB0FE94" wp14:textId="1C9D5435">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08824CFA" wp14:paraId="04606DEE" wp14:textId="2FAE4C57">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1"/>
          <w:bCs w:val="1"/>
          <w:i w:val="0"/>
          <w:iCs w:val="0"/>
          <w:caps w:val="0"/>
          <w:smallCaps w:val="0"/>
          <w:noProof w:val="0"/>
          <w:color w:val="000000" w:themeColor="text1" w:themeTint="FF" w:themeShade="FF"/>
          <w:sz w:val="22"/>
          <w:szCs w:val="22"/>
          <w:lang w:val="en-GB"/>
        </w:rPr>
        <w:t xml:space="preserve">MIMLO 1: Explain the features of various organisation structures, including departmental functions, personnel roles, and the impact of workplace legislation. </w:t>
      </w:r>
    </w:p>
    <w:p xmlns:wp14="http://schemas.microsoft.com/office/word/2010/wordml" w:rsidP="08824CFA" wp14:paraId="3ED8DC3E" wp14:textId="34AF6EB4">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Business Organisations, structures and functions </w:t>
      </w:r>
    </w:p>
    <w:p xmlns:wp14="http://schemas.microsoft.com/office/word/2010/wordml" w:rsidP="08824CFA" wp14:paraId="32EE4051" wp14:textId="5A321829">
      <w:pPr>
        <w:pStyle w:val="ListParagraph"/>
        <w:numPr>
          <w:ilvl w:val="0"/>
          <w:numId w:val="1"/>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Explain the features of different business organisations for example sole trader, partnerships, private limited companies, public limited companies, public service and voluntary organisations. </w:t>
      </w:r>
    </w:p>
    <w:p xmlns:wp14="http://schemas.microsoft.com/office/word/2010/wordml" w:rsidP="08824CFA" wp14:paraId="5F866D89" wp14:textId="7E8BFCAB">
      <w:pPr>
        <w:pStyle w:val="ListParagraph"/>
        <w:numPr>
          <w:ilvl w:val="0"/>
          <w:numId w:val="1"/>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Explore what organisational structures are and why they matter for operational efficiency, communication, and goal alignment. </w:t>
      </w:r>
    </w:p>
    <w:p xmlns:wp14="http://schemas.microsoft.com/office/word/2010/wordml" w:rsidP="08824CFA" wp14:paraId="7F7B1345" wp14:textId="6B7E90D0">
      <w:pPr>
        <w:pStyle w:val="ListParagraph"/>
        <w:numPr>
          <w:ilvl w:val="0"/>
          <w:numId w:val="1"/>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Describe the functions of internal departments in achieving the goals and objectives of an organisation. </w:t>
      </w:r>
    </w:p>
    <w:p xmlns:wp14="http://schemas.microsoft.com/office/word/2010/wordml" w:rsidP="08824CFA" wp14:paraId="15CDB1D8" wp14:textId="738808FF">
      <w:pPr>
        <w:pStyle w:val="ListParagraph"/>
        <w:numPr>
          <w:ilvl w:val="0"/>
          <w:numId w:val="1"/>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Investigate the roles and responsibilities of various personnel within organisations. </w:t>
      </w:r>
    </w:p>
    <w:p xmlns:wp14="http://schemas.microsoft.com/office/word/2010/wordml" w:rsidP="08824CFA" wp14:paraId="32233BAB" wp14:textId="2230F13C">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08824CFA" wp14:paraId="64E57B7C" wp14:textId="53889FBD">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Organisational Charts </w:t>
      </w:r>
    </w:p>
    <w:p xmlns:wp14="http://schemas.microsoft.com/office/word/2010/wordml" w:rsidP="08824CFA" wp14:paraId="13A3746A" wp14:textId="68D676EC">
      <w:pPr>
        <w:pStyle w:val="ListParagraph"/>
        <w:numPr>
          <w:ilvl w:val="0"/>
          <w:numId w:val="2"/>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Explain the purpose of an organisational chart. </w:t>
      </w:r>
    </w:p>
    <w:p xmlns:wp14="http://schemas.microsoft.com/office/word/2010/wordml" w:rsidP="08824CFA" wp14:paraId="33DABEB6" wp14:textId="46A9D0B5">
      <w:pPr>
        <w:pStyle w:val="ListParagraph"/>
        <w:numPr>
          <w:ilvl w:val="0"/>
          <w:numId w:val="2"/>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Create/design an organisational chart for an organisation in the vocational area. </w:t>
      </w:r>
    </w:p>
    <w:p xmlns:wp14="http://schemas.microsoft.com/office/word/2010/wordml" w:rsidP="08824CFA" wp14:paraId="6A8D6B24" wp14:textId="7512BCA6">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08824CFA" wp14:paraId="3F78B26F" wp14:textId="7C1B2BAA">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Workplace Legislation </w:t>
      </w:r>
    </w:p>
    <w:p xmlns:wp14="http://schemas.microsoft.com/office/word/2010/wordml" w:rsidP="08824CFA" wp14:paraId="5265E100" wp14:textId="2B4F9A59">
      <w:pPr>
        <w:pStyle w:val="ListParagraph"/>
        <w:numPr>
          <w:ilvl w:val="0"/>
          <w:numId w:val="3"/>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Describe the impact of workplace legislation on an organisation in the areas of Data Protection, Safety &amp; Health, Employment Equality and Organisation of Working Time.  </w:t>
      </w:r>
    </w:p>
    <w:p xmlns:wp14="http://schemas.microsoft.com/office/word/2010/wordml" w:rsidP="08824CFA" wp14:paraId="2A7AD847" wp14:textId="6C06F6D6">
      <w:pPr>
        <w:spacing w:after="160" w:line="259"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08824CFA" wp14:paraId="4CBECECE" wp14:textId="0084576D">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1"/>
          <w:bCs w:val="1"/>
          <w:i w:val="0"/>
          <w:iCs w:val="0"/>
          <w:caps w:val="0"/>
          <w:smallCaps w:val="0"/>
          <w:noProof w:val="0"/>
          <w:color w:val="000000" w:themeColor="text1" w:themeTint="FF" w:themeShade="FF"/>
          <w:sz w:val="22"/>
          <w:szCs w:val="22"/>
          <w:lang w:val="en-GB"/>
        </w:rPr>
        <w:t xml:space="preserve">MIMLO 2: Explain how a range of IT equipment and applications are used to effectively meet an organisation’s administration functions and needs. </w:t>
      </w:r>
    </w:p>
    <w:p xmlns:wp14="http://schemas.microsoft.com/office/word/2010/wordml" w:rsidP="08824CFA" wp14:paraId="3629A259" wp14:textId="79BD10B3">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08824CFA" wp14:paraId="3ECFCE88" wp14:textId="5AC5D278">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Role of IT in Administration </w:t>
      </w:r>
    </w:p>
    <w:p xmlns:wp14="http://schemas.microsoft.com/office/word/2010/wordml" w:rsidP="08824CFA" wp14:paraId="4A278889" wp14:textId="2E4267B1">
      <w:pPr>
        <w:pStyle w:val="ListParagraph"/>
        <w:numPr>
          <w:ilvl w:val="0"/>
          <w:numId w:val="3"/>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Explain the importance of IT in modern administration practices. </w:t>
      </w:r>
    </w:p>
    <w:p xmlns:wp14="http://schemas.microsoft.com/office/word/2010/wordml" w:rsidP="08824CFA" wp14:paraId="5B0EB1DB" wp14:textId="6CB2B492">
      <w:pPr>
        <w:pStyle w:val="ListParagraph"/>
        <w:numPr>
          <w:ilvl w:val="0"/>
          <w:numId w:val="3"/>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Explore how IT equipment and applications can enhance productivity, efficiency, and communication. </w:t>
      </w:r>
    </w:p>
    <w:p xmlns:wp14="http://schemas.microsoft.com/office/word/2010/wordml" w:rsidP="08824CFA" wp14:paraId="1BDCBAE5" wp14:textId="3321A0E4">
      <w:pPr>
        <w:pStyle w:val="ListParagraph"/>
        <w:numPr>
          <w:ilvl w:val="0"/>
          <w:numId w:val="3"/>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Explore how IT equipment and applications can support organisational decision-making through accurate data management and reporting. </w:t>
      </w:r>
    </w:p>
    <w:p xmlns:wp14="http://schemas.microsoft.com/office/word/2010/wordml" w:rsidP="08824CFA" wp14:paraId="2E0288BF" wp14:textId="015FEF58">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08824CFA" wp14:paraId="77C74441" wp14:textId="651FFA02">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IT Equipment (Hardware) for administration functions </w:t>
      </w:r>
    </w:p>
    <w:p xmlns:wp14="http://schemas.microsoft.com/office/word/2010/wordml" w:rsidP="08824CFA" wp14:paraId="02336661" wp14:textId="4C372ECE">
      <w:pPr>
        <w:pStyle w:val="ListParagraph"/>
        <w:numPr>
          <w:ilvl w:val="0"/>
          <w:numId w:val="4"/>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Explore Computers and Laptops: Core tools for daily administrative tasks such as document creation, data analysis, and email and diary management. </w:t>
      </w:r>
    </w:p>
    <w:p xmlns:wp14="http://schemas.microsoft.com/office/word/2010/wordml" w:rsidP="08824CFA" wp14:paraId="6B9FC86C" wp14:textId="4F75837E">
      <w:pPr>
        <w:pStyle w:val="ListParagraph"/>
        <w:numPr>
          <w:ilvl w:val="0"/>
          <w:numId w:val="4"/>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Explore Printers and Scanners: Integration with digital systems for document handling and archiving. </w:t>
      </w:r>
    </w:p>
    <w:p xmlns:wp14="http://schemas.microsoft.com/office/word/2010/wordml" w:rsidP="08824CFA" wp14:paraId="4C2D1C39" wp14:textId="29B7635A">
      <w:pPr>
        <w:pStyle w:val="ListParagraph"/>
        <w:numPr>
          <w:ilvl w:val="0"/>
          <w:numId w:val="4"/>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Explore Servers and Storage Devices: Supporting data centralisation, backups, and shared access. </w:t>
      </w:r>
    </w:p>
    <w:p xmlns:wp14="http://schemas.microsoft.com/office/word/2010/wordml" w:rsidP="08824CFA" wp14:paraId="48C98E19" wp14:textId="28E997A6">
      <w:pPr>
        <w:pStyle w:val="ListParagraph"/>
        <w:numPr>
          <w:ilvl w:val="0"/>
          <w:numId w:val="4"/>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Explore Mobile Devices: Tablets and smartphones for on-the-go access to administrative systems. </w:t>
      </w:r>
    </w:p>
    <w:p xmlns:wp14="http://schemas.microsoft.com/office/word/2010/wordml" w:rsidP="08824CFA" wp14:paraId="09EA55B6" wp14:textId="7AEB52FB">
      <w:pPr>
        <w:pStyle w:val="ListParagraph"/>
        <w:numPr>
          <w:ilvl w:val="0"/>
          <w:numId w:val="4"/>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Explore Smart devices: biometric access controls, and cloud-based collaborative tools. </w:t>
      </w:r>
    </w:p>
    <w:p xmlns:wp14="http://schemas.microsoft.com/office/word/2010/wordml" w:rsidP="08824CFA" wp14:paraId="03EF1781" wp14:textId="7BC8CDBC">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08824CFA" wp14:paraId="540535A6" wp14:textId="6BD44B3D">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IT Applications (software) for administration functions: </w:t>
      </w:r>
    </w:p>
    <w:p xmlns:wp14="http://schemas.microsoft.com/office/word/2010/wordml" w:rsidP="08824CFA" wp14:paraId="1BAAFA06" wp14:textId="14943E07">
      <w:pPr>
        <w:pStyle w:val="ListParagraph"/>
        <w:numPr>
          <w:ilvl w:val="0"/>
          <w:numId w:val="5"/>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Explore Microsoft 365 (Word, Excel, PowerPoint): Creating documents, spreadsheets, and presentations. </w:t>
      </w:r>
    </w:p>
    <w:p xmlns:wp14="http://schemas.microsoft.com/office/word/2010/wordml" w:rsidP="08824CFA" wp14:paraId="1AF25109" wp14:textId="78BA578F">
      <w:pPr>
        <w:pStyle w:val="ListParagraph"/>
        <w:numPr>
          <w:ilvl w:val="0"/>
          <w:numId w:val="5"/>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Explore Microsoft 365/Google Drive: Cloud-based tools for collaboration and sharing </w:t>
      </w:r>
    </w:p>
    <w:p xmlns:wp14="http://schemas.microsoft.com/office/word/2010/wordml" w:rsidP="08824CFA" wp14:paraId="505A7772" wp14:textId="358D53F3">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08824CFA" wp14:paraId="46C16275" wp14:textId="3F924555">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Communication Applications: </w:t>
      </w:r>
    </w:p>
    <w:p xmlns:wp14="http://schemas.microsoft.com/office/word/2010/wordml" w:rsidP="08824CFA" wp14:paraId="766FA14D" wp14:textId="381031D4">
      <w:pPr>
        <w:pStyle w:val="ListParagraph"/>
        <w:numPr>
          <w:ilvl w:val="0"/>
          <w:numId w:val="6"/>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Explore Email Platforms: Outlook/Gmail for correspondence and scheduling. </w:t>
      </w:r>
    </w:p>
    <w:p xmlns:wp14="http://schemas.microsoft.com/office/word/2010/wordml" w:rsidP="08824CFA" wp14:paraId="1B01910B" wp14:textId="11646438">
      <w:pPr>
        <w:pStyle w:val="ListParagraph"/>
        <w:numPr>
          <w:ilvl w:val="0"/>
          <w:numId w:val="6"/>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Explore Instant Messaging and Collaboration Tools: Microsoft Teams,  </w:t>
      </w:r>
    </w:p>
    <w:p xmlns:wp14="http://schemas.microsoft.com/office/word/2010/wordml" w:rsidP="08824CFA" wp14:paraId="3E6DA8FD" wp14:textId="3FE69F3D">
      <w:pPr>
        <w:pStyle w:val="ListParagraph"/>
        <w:numPr>
          <w:ilvl w:val="0"/>
          <w:numId w:val="6"/>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Explore Video Conferencing Applications: Microsoft Teams, Zoom, Google Meet for virtual meetings. </w:t>
      </w:r>
    </w:p>
    <w:p xmlns:wp14="http://schemas.microsoft.com/office/word/2010/wordml" w:rsidP="08824CFA" wp14:paraId="5729D112" wp14:textId="375CC847">
      <w:pPr>
        <w:pStyle w:val="ListParagraph"/>
        <w:numPr>
          <w:ilvl w:val="0"/>
          <w:numId w:val="6"/>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Explore AI assistants, Canva, QR codes, etc </w:t>
      </w:r>
    </w:p>
    <w:p xmlns:wp14="http://schemas.microsoft.com/office/word/2010/wordml" w:rsidP="08824CFA" wp14:paraId="7C58D6F5" wp14:textId="3A8490D2">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08824CFA" wp14:paraId="0408F0D3" wp14:textId="7709F1A1">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Document Management Systems: </w:t>
      </w:r>
    </w:p>
    <w:p xmlns:wp14="http://schemas.microsoft.com/office/word/2010/wordml" w:rsidP="08824CFA" wp14:paraId="7DB12F96" wp14:textId="68984379">
      <w:pPr>
        <w:pStyle w:val="ListParagraph"/>
        <w:numPr>
          <w:ilvl w:val="0"/>
          <w:numId w:val="7"/>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Explore Tools such as SharePoint, DocuSign, or Dropbox for version control and secure sharing </w:t>
      </w:r>
    </w:p>
    <w:p xmlns:wp14="http://schemas.microsoft.com/office/word/2010/wordml" w:rsidP="08824CFA" wp14:paraId="30604E1B" wp14:textId="416E7B31">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08824CFA" wp14:paraId="0FE97EDF" wp14:textId="0DE69883">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Challenges/issues in IT  </w:t>
      </w:r>
    </w:p>
    <w:p xmlns:wp14="http://schemas.microsoft.com/office/word/2010/wordml" w:rsidP="08824CFA" wp14:paraId="6E6B1176" wp14:textId="6F42D3FB">
      <w:pPr>
        <w:pStyle w:val="ListParagraph"/>
        <w:numPr>
          <w:ilvl w:val="0"/>
          <w:numId w:val="7"/>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Identify initial procurement/installation costs, training requirements, and resistance to change. </w:t>
      </w:r>
    </w:p>
    <w:p xmlns:wp14="http://schemas.microsoft.com/office/word/2010/wordml" w:rsidP="08824CFA" wp14:paraId="76F962F6" wp14:textId="61927DD4">
      <w:pPr>
        <w:pStyle w:val="ListParagraph"/>
        <w:numPr>
          <w:ilvl w:val="0"/>
          <w:numId w:val="7"/>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Identify risks of cyberattacks, software malfunctions, and data breaches. </w:t>
      </w:r>
    </w:p>
    <w:p xmlns:wp14="http://schemas.microsoft.com/office/word/2010/wordml" w:rsidP="08824CFA" wp14:paraId="15247DCF" wp14:textId="5975CF57">
      <w:pPr>
        <w:spacing w:after="160" w:line="259"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08824CFA" wp14:paraId="18197EDF" wp14:textId="42A6689A">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1"/>
          <w:bCs w:val="1"/>
          <w:i w:val="0"/>
          <w:iCs w:val="0"/>
          <w:caps w:val="0"/>
          <w:smallCaps w:val="0"/>
          <w:noProof w:val="0"/>
          <w:color w:val="000000" w:themeColor="text1" w:themeTint="FF" w:themeShade="FF"/>
          <w:sz w:val="22"/>
          <w:szCs w:val="22"/>
          <w:lang w:val="en-GB"/>
        </w:rPr>
        <w:t xml:space="preserve">MIMLO 3: Organise meetings and national business travel, utilising an appropriate diary management system to include the production of supporting documentation (meeting notice, agenda, itinerary.) </w:t>
      </w:r>
    </w:p>
    <w:p xmlns:wp14="http://schemas.microsoft.com/office/word/2010/wordml" w:rsidP="08824CFA" wp14:paraId="44D2679A" wp14:textId="5021CCEA">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Meetings and Business Travel  </w:t>
      </w:r>
    </w:p>
    <w:p xmlns:wp14="http://schemas.microsoft.com/office/word/2010/wordml" w:rsidP="08824CFA" wp14:paraId="75034792" wp14:textId="60147C3F">
      <w:pPr>
        <w:pStyle w:val="ListParagraph"/>
        <w:numPr>
          <w:ilvl w:val="0"/>
          <w:numId w:val="8"/>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Explain meeting types e.g., formal, informal, team, client, board meetings and meeting objectives and outcomes e.g., decision-making, communication and information sharing.   </w:t>
      </w:r>
    </w:p>
    <w:p xmlns:wp14="http://schemas.microsoft.com/office/word/2010/wordml" w:rsidP="08824CFA" wp14:paraId="49EEA7A7" wp14:textId="4CD2D40D">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08824CFA" wp14:paraId="630AB6F2" wp14:textId="670CAEDC">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Business Meeting &amp; Travel integration   </w:t>
      </w:r>
    </w:p>
    <w:p xmlns:wp14="http://schemas.microsoft.com/office/word/2010/wordml" w:rsidP="08824CFA" wp14:paraId="7FF9D5B8" wp14:textId="24DF2591">
      <w:pPr>
        <w:pStyle w:val="ListParagraph"/>
        <w:numPr>
          <w:ilvl w:val="0"/>
          <w:numId w:val="8"/>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Aligning meeting schedules with travel requirements to ensure efficiency and cost-effectiveness. </w:t>
      </w:r>
    </w:p>
    <w:p xmlns:wp14="http://schemas.microsoft.com/office/word/2010/wordml" w:rsidP="08824CFA" wp14:paraId="4254B826" wp14:textId="4672A772">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08824CFA" wp14:paraId="69C0B9E5" wp14:textId="78395889">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Diary Management Systems for Scheduling Travel   </w:t>
      </w:r>
    </w:p>
    <w:p xmlns:wp14="http://schemas.microsoft.com/office/word/2010/wordml" w:rsidP="08824CFA" wp14:paraId="1D65B0BC" wp14:textId="0B29C9E2">
      <w:pPr>
        <w:pStyle w:val="ListParagraph"/>
        <w:numPr>
          <w:ilvl w:val="0"/>
          <w:numId w:val="8"/>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Summarise the benefits of using a Diary Management Systems such as Outlook Calendar, Google Calendar, Microsoft Teams,  </w:t>
      </w:r>
    </w:p>
    <w:p xmlns:wp14="http://schemas.microsoft.com/office/word/2010/wordml" w:rsidP="08824CFA" wp14:paraId="64F4AB92" wp14:textId="3483DAF1">
      <w:pPr>
        <w:pStyle w:val="ListParagraph"/>
        <w:numPr>
          <w:ilvl w:val="0"/>
          <w:numId w:val="8"/>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Describe key features of diary management systems including setting and updating meetings; managing recurring meetings and reminders and integrating with email and travel booking systems.   </w:t>
      </w:r>
    </w:p>
    <w:p xmlns:wp14="http://schemas.microsoft.com/office/word/2010/wordml" w:rsidP="08824CFA" wp14:paraId="140DC77E" wp14:textId="3BDEF841">
      <w:pPr>
        <w:pStyle w:val="ListParagraph"/>
        <w:numPr>
          <w:ilvl w:val="0"/>
          <w:numId w:val="8"/>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Explore best practices for effective diary management to ensure accuracy and clarity, avoid scheduling conflicts and sharing access with team members while maintaining confidentiality.   </w:t>
      </w:r>
    </w:p>
    <w:p xmlns:wp14="http://schemas.microsoft.com/office/word/2010/wordml" w:rsidP="08824CFA" wp14:paraId="69C5E5D1" wp14:textId="57E8E5B8">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08824CFA" wp14:paraId="20173156" wp14:textId="775BD007">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Organising Meetings</w:t>
      </w:r>
    </w:p>
    <w:p xmlns:wp14="http://schemas.microsoft.com/office/word/2010/wordml" w:rsidP="08824CFA" wp14:paraId="1E0E7BAE" wp14:textId="4323FAF2">
      <w:pPr>
        <w:pStyle w:val="ListParagraph"/>
        <w:numPr>
          <w:ilvl w:val="0"/>
          <w:numId w:val="9"/>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Identify participants and their roles, confirming meeting objectives, date, time, and location (virtual or physical).   </w:t>
      </w:r>
    </w:p>
    <w:p xmlns:wp14="http://schemas.microsoft.com/office/word/2010/wordml" w:rsidP="08824CFA" wp14:paraId="6864E7B7" wp14:textId="58E8E72D">
      <w:pPr>
        <w:pStyle w:val="ListParagraph"/>
        <w:numPr>
          <w:ilvl w:val="0"/>
          <w:numId w:val="9"/>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Prepare supporting documentation including meeting notice or invitation, agenda (including key points for discussion, action items, and presenters);  </w:t>
      </w:r>
    </w:p>
    <w:p xmlns:wp14="http://schemas.microsoft.com/office/word/2010/wordml" w:rsidP="08824CFA" wp14:paraId="21A3178E" wp14:textId="519B1D43">
      <w:pPr>
        <w:pStyle w:val="ListParagraph"/>
        <w:numPr>
          <w:ilvl w:val="0"/>
          <w:numId w:val="9"/>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Provide background materials, previous meeting minutes, or other relevant information as required; Book rooms, venues or virtual platforms (e.g., Microsoft Teams, Zoom); arranging necessary equipment (e.g., projectors, video conferencing tools) and organising refreshments, where applicable. </w:t>
      </w:r>
    </w:p>
    <w:p xmlns:wp14="http://schemas.microsoft.com/office/word/2010/wordml" w:rsidP="08824CFA" wp14:paraId="49E1B496" wp14:textId="221ED068">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08824CFA" wp14:paraId="2E07875D" wp14:textId="708F3A2E">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National Business Travel   </w:t>
      </w:r>
    </w:p>
    <w:p xmlns:wp14="http://schemas.microsoft.com/office/word/2010/wordml" w:rsidP="08824CFA" wp14:paraId="719A3D0D" wp14:textId="28B9C61B">
      <w:pPr>
        <w:pStyle w:val="ListParagraph"/>
        <w:numPr>
          <w:ilvl w:val="0"/>
          <w:numId w:val="10"/>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Plan and Book Travel Arrangements to include transportation (e.g. booking flights, trains, or car hire); Accommodation - choose appropriate hotels. </w:t>
      </w:r>
    </w:p>
    <w:p xmlns:wp14="http://schemas.microsoft.com/office/word/2010/wordml" w:rsidP="08824CFA" wp14:paraId="0850DF9D" wp14:textId="3D2F9DB3">
      <w:pPr>
        <w:pStyle w:val="ListParagraph"/>
        <w:numPr>
          <w:ilvl w:val="0"/>
          <w:numId w:val="10"/>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Create detailed itinerary schedules with travel times, meeting details, and contact information for locations, participants, and transport providers.  </w:t>
      </w:r>
    </w:p>
    <w:p xmlns:wp14="http://schemas.microsoft.com/office/word/2010/wordml" w:rsidP="08824CFA" wp14:paraId="437A5056" wp14:textId="53D15700">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Budget/Costs/Contingency </w:t>
      </w:r>
    </w:p>
    <w:p xmlns:wp14="http://schemas.microsoft.com/office/word/2010/wordml" w:rsidP="08824CFA" wp14:paraId="7E196A63" wp14:textId="2F4BC02C">
      <w:pPr>
        <w:pStyle w:val="ListParagraph"/>
        <w:numPr>
          <w:ilvl w:val="0"/>
          <w:numId w:val="11"/>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Balance efficiency with budget constraints  </w:t>
      </w:r>
    </w:p>
    <w:p xmlns:wp14="http://schemas.microsoft.com/office/word/2010/wordml" w:rsidP="08824CFA" wp14:paraId="72C587D3" wp14:textId="5D0729C4">
      <w:pPr>
        <w:pStyle w:val="ListParagraph"/>
        <w:numPr>
          <w:ilvl w:val="0"/>
          <w:numId w:val="11"/>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Prepare a contingency plan for delays or cancellations while ensuring compliance with business/organisational travel policies.   </w:t>
      </w:r>
    </w:p>
    <w:p xmlns:wp14="http://schemas.microsoft.com/office/word/2010/wordml" w:rsidP="08824CFA" wp14:paraId="7C95DA53" wp14:textId="03F02163">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Post-Meeting and Post-Travel Tasks </w:t>
      </w:r>
    </w:p>
    <w:p xmlns:wp14="http://schemas.microsoft.com/office/word/2010/wordml" w:rsidP="08824CFA" wp14:paraId="260B6B4D" wp14:textId="736CF3D8">
      <w:pPr>
        <w:pStyle w:val="ListParagraph"/>
        <w:numPr>
          <w:ilvl w:val="0"/>
          <w:numId w:val="12"/>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Prepare post-meeting documentation including minutes and expense claims and summarise outcomes of travel (e.g., client feedback, new opportunities).   </w:t>
      </w:r>
    </w:p>
    <w:p xmlns:wp14="http://schemas.microsoft.com/office/word/2010/wordml" w:rsidP="08824CFA" wp14:paraId="74B5E8C0" wp14:textId="7BDEA03B">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08824CFA" wp14:paraId="10124F93" wp14:textId="1EC06EDB">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1"/>
          <w:bCs w:val="1"/>
          <w:i w:val="0"/>
          <w:iCs w:val="0"/>
          <w:caps w:val="0"/>
          <w:smallCaps w:val="0"/>
          <w:noProof w:val="0"/>
          <w:color w:val="000000" w:themeColor="text1" w:themeTint="FF" w:themeShade="FF"/>
          <w:sz w:val="22"/>
          <w:szCs w:val="22"/>
          <w:lang w:val="en-GB"/>
        </w:rPr>
        <w:t xml:space="preserve">MIMLO 4: Utilise a range of administrative skills, relevant to the vocational area, with an emphasis on clear communication, efficiency and attention to detail in internal and external correspondence. </w:t>
      </w:r>
    </w:p>
    <w:p xmlns:wp14="http://schemas.microsoft.com/office/word/2010/wordml" w:rsidP="08824CFA" wp14:paraId="00EB74ED" wp14:textId="1706C0F3">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Facilitate the learner to:  </w:t>
      </w:r>
    </w:p>
    <w:p xmlns:wp14="http://schemas.microsoft.com/office/word/2010/wordml" w:rsidP="08824CFA" wp14:paraId="1E0C8E54" wp14:textId="484FE086">
      <w:pPr>
        <w:pStyle w:val="ListParagraph"/>
        <w:numPr>
          <w:ilvl w:val="0"/>
          <w:numId w:val="12"/>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Identify the key administrative skills and core competencies required for professional business and organisational settings relevant to their vocational area in an administrative setting e.g., planning; organisation and prioritisation; time management; problem-solving and adaptability  </w:t>
      </w:r>
    </w:p>
    <w:p xmlns:wp14="http://schemas.microsoft.com/office/word/2010/wordml" w:rsidP="08824CFA" wp14:paraId="5EC231D5" wp14:textId="6D476F1C">
      <w:pPr>
        <w:pStyle w:val="ListParagraph"/>
        <w:numPr>
          <w:ilvl w:val="0"/>
          <w:numId w:val="12"/>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Recognise how clear communication is a cornerstone of effective administration.   </w:t>
      </w:r>
    </w:p>
    <w:p xmlns:wp14="http://schemas.microsoft.com/office/word/2010/wordml" w:rsidP="08824CFA" wp14:paraId="74F6071F" wp14:textId="63064118">
      <w:pPr>
        <w:pStyle w:val="ListParagraph"/>
        <w:numPr>
          <w:ilvl w:val="0"/>
          <w:numId w:val="12"/>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Identify communication outputs e.g. memos, emails, agendas, meeting minutes, travel itineraries, reports etc </w:t>
      </w:r>
    </w:p>
    <w:p xmlns:wp14="http://schemas.microsoft.com/office/word/2010/wordml" w:rsidP="08824CFA" wp14:paraId="20BEF802" wp14:textId="040DCF6F">
      <w:pPr>
        <w:pStyle w:val="ListParagraph"/>
        <w:numPr>
          <w:ilvl w:val="0"/>
          <w:numId w:val="12"/>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Adapt best practices for effective communication by using a professional tone and clear language; structuring information logically; tailoring the message for the audience (e.g., colleagues, management), proof-reading and editing and aligning documents produced in line with organisational standards.  </w:t>
      </w:r>
    </w:p>
    <w:p xmlns:wp14="http://schemas.microsoft.com/office/word/2010/wordml" w:rsidP="08824CFA" wp14:paraId="0ECEA136" wp14:textId="3A07BD1D">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08824CFA" wp14:paraId="74FAA9EE" wp14:textId="222BBACD">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1"/>
          <w:bCs w:val="1"/>
          <w:i w:val="0"/>
          <w:iCs w:val="0"/>
          <w:caps w:val="0"/>
          <w:smallCaps w:val="0"/>
          <w:noProof w:val="0"/>
          <w:color w:val="000000" w:themeColor="text1" w:themeTint="FF" w:themeShade="FF"/>
          <w:sz w:val="22"/>
          <w:szCs w:val="22"/>
          <w:lang w:val="en-GB"/>
        </w:rPr>
        <w:t xml:space="preserve">MIMLO 5: Create a file management system appropriate to the vocational area, utilising relevant security awareness to enable authorised accessibility. </w:t>
      </w:r>
    </w:p>
    <w:p xmlns:wp14="http://schemas.microsoft.com/office/word/2010/wordml" w:rsidP="08824CFA" wp14:paraId="31BE40DA" wp14:textId="291E5EEE">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08824CFA" wp14:paraId="3E8FB3B9" wp14:textId="54255832">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Facilitate the learner to: </w:t>
      </w:r>
    </w:p>
    <w:p xmlns:wp14="http://schemas.microsoft.com/office/word/2010/wordml" w:rsidP="08824CFA" wp14:paraId="7BE0D5D6" wp14:textId="4B324C9C">
      <w:pPr>
        <w:pStyle w:val="ListParagraph"/>
        <w:numPr>
          <w:ilvl w:val="0"/>
          <w:numId w:val="13"/>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Define digital file management, identify its role in administration (supporting information retrieval, collaboration and decision-making) and the benefits of an organised digital file systems (efficiency, accessibility, collaboration).   </w:t>
      </w:r>
    </w:p>
    <w:p xmlns:wp14="http://schemas.microsoft.com/office/word/2010/wordml" w:rsidP="08824CFA" wp14:paraId="6132A5DF" wp14:textId="7C361B71">
      <w:pPr>
        <w:pStyle w:val="ListParagraph"/>
        <w:numPr>
          <w:ilvl w:val="0"/>
          <w:numId w:val="13"/>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Explore platforms for digital file management e.g., OneDrive, Google Drive, SharePoint, Dropbox.   </w:t>
      </w:r>
    </w:p>
    <w:p xmlns:wp14="http://schemas.microsoft.com/office/word/2010/wordml" w:rsidP="08824CFA" wp14:paraId="657B72C3" wp14:textId="5C44F5B5">
      <w:pPr>
        <w:pStyle w:val="ListParagraph"/>
        <w:numPr>
          <w:ilvl w:val="0"/>
          <w:numId w:val="13"/>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Create and manage folders for categorisation and organisation to include managing permissions for collaboration, sharing links, structuring folders logically based on projects, departments, or tasks; creation of naming conventions for consistency and searchability and archiving and/or deleting outdated files to maintain system efficiency.  </w:t>
      </w:r>
    </w:p>
    <w:p xmlns:wp14="http://schemas.microsoft.com/office/word/2010/wordml" w:rsidP="08824CFA" wp14:paraId="33066C16" wp14:textId="3BFC8E5A">
      <w:pPr>
        <w:pStyle w:val="ListParagraph"/>
        <w:numPr>
          <w:ilvl w:val="0"/>
          <w:numId w:val="13"/>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Explore accessibility including management of file permission settings (view, edit, comment) and differentiating access levels for different users  </w:t>
      </w:r>
    </w:p>
    <w:p xmlns:wp14="http://schemas.microsoft.com/office/word/2010/wordml" w:rsidP="08824CFA" wp14:paraId="066F4BC1" wp14:textId="0EABCED5">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Compliance and Legal Considerations  </w:t>
      </w:r>
    </w:p>
    <w:p xmlns:wp14="http://schemas.microsoft.com/office/word/2010/wordml" w:rsidP="08824CFA" wp14:paraId="357D6D9A" wp14:textId="25DB5E9E">
      <w:pPr>
        <w:pStyle w:val="ListParagraph"/>
        <w:numPr>
          <w:ilvl w:val="0"/>
          <w:numId w:val="14"/>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Research and explain the impact of current and relevant workplace legislation in the area of Data Protection (GDPR), what a data breach is, and how it should be handled</w:t>
      </w:r>
    </w:p>
    <w:p xmlns:wp14="http://schemas.microsoft.com/office/word/2010/wordml" w:rsidP="08824CFA" wp14:paraId="35936F18" wp14:textId="116CB38D">
      <w:pPr>
        <w:spacing w:after="160" w:line="259"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08824CFA" wp14:paraId="342FCEB9" wp14:textId="7EBB6EAB">
      <w:pPr>
        <w:pStyle w:val="Heading1"/>
        <w:keepNext w:val="1"/>
        <w:keepLines w:val="1"/>
        <w:pBdr>
          <w:top w:val="single" w:color="0E2841" w:sz="4" w:space="1"/>
          <w:bottom w:val="single" w:color="0E2841" w:sz="4" w:space="1"/>
        </w:pBdr>
        <w:spacing w:before="360" w:after="80" w:line="259" w:lineRule="auto"/>
        <w:ind w:left="0" w:hanging="10" w:firstLine="0"/>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pPr>
      <w:r w:rsidRPr="08824CFA" w:rsidR="29469648">
        <w:rPr>
          <w:rFonts w:ascii="Aptos Display" w:hAnsi="Aptos Display" w:eastAsia="Aptos Display" w:cs="Aptos Display"/>
          <w:b w:val="0"/>
          <w:bCs w:val="0"/>
          <w:i w:val="0"/>
          <w:iCs w:val="0"/>
          <w:caps w:val="0"/>
          <w:smallCaps w:val="0"/>
          <w:noProof w:val="0"/>
          <w:color w:val="0F4761" w:themeColor="accent1" w:themeTint="FF" w:themeShade="BF"/>
          <w:sz w:val="32"/>
          <w:szCs w:val="32"/>
          <w:lang w:val="en-GB"/>
        </w:rPr>
        <w:t xml:space="preserve">10b. Suggested Resources </w:t>
      </w:r>
    </w:p>
    <w:p xmlns:wp14="http://schemas.microsoft.com/office/word/2010/wordml" w:rsidP="08824CFA" wp14:paraId="410E6647" wp14:textId="1AA17AFE">
      <w:pPr>
        <w:spacing w:after="5"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1"/>
          <w:bCs w:val="1"/>
          <w:i w:val="0"/>
          <w:iCs w:val="0"/>
          <w:caps w:val="0"/>
          <w:smallCaps w:val="0"/>
          <w:noProof w:val="0"/>
          <w:color w:val="000000" w:themeColor="text1" w:themeTint="FF" w:themeShade="FF"/>
          <w:sz w:val="22"/>
          <w:szCs w:val="22"/>
          <w:lang w:val="en-GB"/>
        </w:rPr>
        <w:t xml:space="preserve">Suggested books </w:t>
      </w:r>
    </w:p>
    <w:p xmlns:wp14="http://schemas.microsoft.com/office/word/2010/wordml" w:rsidP="08824CFA" wp14:paraId="07A50DAE" wp14:textId="14B246F1">
      <w:pPr>
        <w:pStyle w:val="paragraph"/>
        <w:tabs>
          <w:tab w:val="clear" w:leader="none" w:pos="720"/>
          <w:tab w:val="num" w:leader="none" w:pos="1553"/>
        </w:tabs>
        <w:spacing w:before="0" w:beforeAutospacing="off" w:after="0" w:afterAutospacing="off" w:line="360" w:lineRule="auto"/>
        <w:ind w:left="709" w:right="132"/>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Further Education Support Service and Education and Training Boards Ireland (2019) </w:t>
      </w:r>
      <w:r w:rsidRPr="08824CFA" w:rsidR="29469648">
        <w:rPr>
          <w:rFonts w:ascii="Aptos" w:hAnsi="Aptos" w:eastAsia="Aptos" w:cs="Aptos"/>
          <w:b w:val="0"/>
          <w:bCs w:val="0"/>
          <w:i w:val="1"/>
          <w:iCs w:val="1"/>
          <w:caps w:val="0"/>
          <w:smallCaps w:val="0"/>
          <w:noProof w:val="0"/>
          <w:color w:val="000000" w:themeColor="text1" w:themeTint="FF" w:themeShade="FF"/>
          <w:sz w:val="22"/>
          <w:szCs w:val="22"/>
          <w:lang w:val="en-GB"/>
        </w:rPr>
        <w:t>Referencing handbook for the FET sector</w:t>
      </w: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Available from</w:t>
      </w:r>
    </w:p>
    <w:p xmlns:wp14="http://schemas.microsoft.com/office/word/2010/wordml" w:rsidP="08824CFA" wp14:paraId="44A98067" wp14:textId="71CC018A">
      <w:pPr>
        <w:spacing w:before="0" w:beforeAutospacing="off" w:after="0" w:afterAutospacing="off" w:line="360" w:lineRule="auto"/>
        <w:ind w:left="709" w:right="132"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hyperlink r:id="R7b9959559c57483a">
        <w:r w:rsidRPr="08824CFA" w:rsidR="29469648">
          <w:rPr>
            <w:rStyle w:val="Hyperlink"/>
            <w:rFonts w:ascii="Aptos" w:hAnsi="Aptos" w:eastAsia="Aptos" w:cs="Aptos"/>
            <w:b w:val="0"/>
            <w:bCs w:val="0"/>
            <w:i w:val="0"/>
            <w:iCs w:val="0"/>
            <w:caps w:val="0"/>
            <w:smallCaps w:val="0"/>
            <w:strike w:val="0"/>
            <w:dstrike w:val="0"/>
            <w:noProof w:val="0"/>
            <w:sz w:val="22"/>
            <w:szCs w:val="22"/>
            <w:lang w:val="en-GB"/>
          </w:rPr>
          <w:t>https://www.fess.ie/images/stories/ResourcesForTutors/Referencing_Handbook_files/Referencing_Handbook_February_2019.pdf</w:t>
        </w:r>
      </w:hyperlink>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  [accessed 10 June 2024]</w:t>
      </w:r>
    </w:p>
    <w:p xmlns:wp14="http://schemas.microsoft.com/office/word/2010/wordml" w:rsidP="08824CFA" wp14:paraId="07AE6CB7" wp14:textId="3A7352E8">
      <w:pPr>
        <w:spacing w:before="0" w:beforeAutospacing="off" w:after="0" w:afterAutospacing="off" w:line="360" w:lineRule="auto"/>
        <w:ind w:left="709" w:right="132" w:hanging="10" w:firstLine="0"/>
        <w:rPr>
          <w:rFonts w:ascii="Aptos" w:hAnsi="Aptos" w:eastAsia="Aptos" w:cs="Aptos"/>
          <w:b w:val="0"/>
          <w:bCs w:val="0"/>
          <w:i w:val="0"/>
          <w:iCs w:val="0"/>
          <w:caps w:val="0"/>
          <w:smallCaps w:val="0"/>
          <w:noProof w:val="0"/>
          <w:color w:val="467886"/>
          <w:sz w:val="22"/>
          <w:szCs w:val="22"/>
          <w:lang w:val="en-US"/>
        </w:rPr>
      </w:pPr>
    </w:p>
    <w:p xmlns:wp14="http://schemas.microsoft.com/office/word/2010/wordml" w:rsidP="08824CFA" wp14:paraId="62EA0FB3" wp14:textId="2C4349D1">
      <w:pPr>
        <w:pStyle w:val="paragraph"/>
        <w:tabs>
          <w:tab w:val="clear" w:leader="none" w:pos="720"/>
          <w:tab w:val="num" w:leader="none" w:pos="1553"/>
        </w:tabs>
        <w:spacing w:before="0" w:beforeAutospacing="off" w:after="0" w:afterAutospacing="off" w:line="360" w:lineRule="auto"/>
        <w:ind w:left="709" w:right="132"/>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Further Education Support Service and Education and Training Boards Ireland (2019) Academic</w:t>
      </w:r>
      <w:r w:rsidRPr="08824CFA" w:rsidR="29469648">
        <w:rPr>
          <w:rFonts w:ascii="Aptos" w:hAnsi="Aptos" w:eastAsia="Aptos" w:cs="Aptos"/>
          <w:b w:val="0"/>
          <w:bCs w:val="0"/>
          <w:i w:val="1"/>
          <w:iCs w:val="1"/>
          <w:caps w:val="0"/>
          <w:smallCaps w:val="0"/>
          <w:noProof w:val="0"/>
          <w:color w:val="000000" w:themeColor="text1" w:themeTint="FF" w:themeShade="FF"/>
          <w:sz w:val="22"/>
          <w:szCs w:val="22"/>
          <w:lang w:val="en-GB"/>
        </w:rPr>
        <w:t xml:space="preserve"> writing handbook for learners in the FET sector.</w:t>
      </w:r>
      <w:r w:rsidRPr="08824CFA" w:rsidR="29469648">
        <w:rPr>
          <w:rFonts w:ascii="Aptos" w:hAnsi="Aptos" w:eastAsia="Aptos" w:cs="Aptos"/>
          <w:b w:val="0"/>
          <w:bCs w:val="0"/>
          <w:i w:val="0"/>
          <w:iCs w:val="0"/>
          <w:caps w:val="0"/>
          <w:smallCaps w:val="0"/>
          <w:noProof w:val="0"/>
          <w:color w:val="000000" w:themeColor="text1" w:themeTint="FF" w:themeShade="FF"/>
          <w:sz w:val="22"/>
          <w:szCs w:val="22"/>
          <w:lang w:val="en-GB"/>
        </w:rPr>
        <w:t xml:space="preserve"> Available from</w:t>
      </w:r>
    </w:p>
    <w:p xmlns:wp14="http://schemas.microsoft.com/office/word/2010/wordml" w:rsidP="08824CFA" wp14:paraId="0F7C036F" wp14:textId="0DDBEE30">
      <w:pPr>
        <w:spacing w:before="0" w:beforeAutospacing="off" w:after="0" w:afterAutospacing="off" w:line="360" w:lineRule="auto"/>
        <w:ind w:left="709" w:right="132"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hyperlink r:id="R7b6ccba563374bb4">
        <w:r w:rsidRPr="08824CFA" w:rsidR="29469648">
          <w:rPr>
            <w:rStyle w:val="Hyperlink"/>
            <w:rFonts w:ascii="Aptos" w:hAnsi="Aptos" w:eastAsia="Aptos" w:cs="Aptos"/>
            <w:b w:val="0"/>
            <w:bCs w:val="0"/>
            <w:i w:val="0"/>
            <w:iCs w:val="0"/>
            <w:caps w:val="0"/>
            <w:smallCaps w:val="0"/>
            <w:strike w:val="0"/>
            <w:dstrike w:val="0"/>
            <w:noProof w:val="0"/>
            <w:sz w:val="22"/>
            <w:szCs w:val="22"/>
            <w:lang w:val="en-GB"/>
          </w:rPr>
          <w:t>https://fess.ie/images/stories/ResourcesForTutors/AcademicWritingHandbookForLearnersInTheFETSector.pdf</w:t>
        </w:r>
      </w:hyperlink>
      <w:r w:rsidRPr="08824CFA" w:rsidR="29469648">
        <w:rPr>
          <w:rStyle w:val="Hyperlink"/>
          <w:rFonts w:ascii="Aptos" w:hAnsi="Aptos" w:eastAsia="Aptos" w:cs="Aptos"/>
          <w:b w:val="0"/>
          <w:bCs w:val="0"/>
          <w:i w:val="0"/>
          <w:iCs w:val="0"/>
          <w:caps w:val="0"/>
          <w:smallCaps w:val="0"/>
          <w:strike w:val="0"/>
          <w:dstrike w:val="0"/>
          <w:noProof w:val="0"/>
          <w:sz w:val="22"/>
          <w:szCs w:val="22"/>
          <w:lang w:val="en-GB"/>
        </w:rPr>
        <w:t xml:space="preserve"> [accessed 10 June 2024]. </w:t>
      </w:r>
    </w:p>
    <w:p xmlns:wp14="http://schemas.microsoft.com/office/word/2010/wordml" w:rsidP="08824CFA" wp14:paraId="5C8CE25B" wp14:textId="12B75B93">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08824CFA" wp14:paraId="712C9152" wp14:textId="6B198DF6">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r w:rsidRPr="08824CFA" w:rsidR="29469648">
        <w:rPr>
          <w:rFonts w:ascii="Aptos" w:hAnsi="Aptos" w:eastAsia="Aptos" w:cs="Aptos"/>
          <w:b w:val="1"/>
          <w:bCs w:val="1"/>
          <w:i w:val="0"/>
          <w:iCs w:val="0"/>
          <w:caps w:val="0"/>
          <w:smallCaps w:val="0"/>
          <w:noProof w:val="0"/>
          <w:color w:val="000000" w:themeColor="text1" w:themeTint="FF" w:themeShade="FF"/>
          <w:sz w:val="22"/>
          <w:szCs w:val="22"/>
          <w:lang w:val="en-GB"/>
        </w:rPr>
        <w:t xml:space="preserve">Suggested web resources </w:t>
      </w:r>
    </w:p>
    <w:p xmlns:wp14="http://schemas.microsoft.com/office/word/2010/wordml" w:rsidP="08824CFA" wp14:paraId="0EBFF495" wp14:textId="05CB78B2">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1742"/>
        <w:gridCol w:w="2232"/>
        <w:gridCol w:w="5386"/>
      </w:tblGrid>
      <w:tr w:rsidR="08824CFA" w:rsidTr="08824CFA" w14:paraId="4C086854">
        <w:trPr>
          <w:trHeight w:val="300"/>
        </w:trPr>
        <w:tc>
          <w:tcPr>
            <w:tcW w:w="1742" w:type="dxa"/>
            <w:shd w:val="clear" w:color="auto" w:fill="002060"/>
            <w:tcMar>
              <w:left w:w="105" w:type="dxa"/>
              <w:right w:w="105" w:type="dxa"/>
            </w:tcMar>
            <w:vAlign w:val="top"/>
          </w:tcPr>
          <w:p w:rsidR="08824CFA" w:rsidP="08824CFA" w:rsidRDefault="08824CFA" w14:paraId="5BBEC5D9" w14:textId="059F6F68">
            <w:pPr>
              <w:spacing w:after="5" w:line="276" w:lineRule="auto"/>
              <w:ind w:left="0" w:hanging="10" w:firstLine="0"/>
              <w:rPr>
                <w:rFonts w:ascii="Aptos" w:hAnsi="Aptos" w:eastAsia="Aptos" w:cs="Aptos"/>
                <w:b w:val="0"/>
                <w:bCs w:val="0"/>
                <w:i w:val="0"/>
                <w:iCs w:val="0"/>
                <w:color w:val="FFFFFF" w:themeColor="background1" w:themeTint="FF" w:themeShade="FF"/>
                <w:sz w:val="22"/>
                <w:szCs w:val="22"/>
              </w:rPr>
            </w:pPr>
            <w:r w:rsidRPr="08824CFA" w:rsidR="08824CFA">
              <w:rPr>
                <w:rFonts w:ascii="Aptos" w:hAnsi="Aptos" w:eastAsia="Aptos" w:cs="Aptos"/>
                <w:b w:val="1"/>
                <w:bCs w:val="1"/>
                <w:i w:val="0"/>
                <w:iCs w:val="0"/>
                <w:color w:val="FFFFFF" w:themeColor="background1" w:themeTint="FF" w:themeShade="FF"/>
                <w:sz w:val="22"/>
                <w:szCs w:val="22"/>
                <w:lang w:val="en-GB"/>
              </w:rPr>
              <w:t xml:space="preserve">Organisation / Author </w:t>
            </w:r>
          </w:p>
        </w:tc>
        <w:tc>
          <w:tcPr>
            <w:tcW w:w="2232" w:type="dxa"/>
            <w:shd w:val="clear" w:color="auto" w:fill="002060"/>
            <w:tcMar>
              <w:left w:w="105" w:type="dxa"/>
              <w:right w:w="105" w:type="dxa"/>
            </w:tcMar>
            <w:vAlign w:val="top"/>
          </w:tcPr>
          <w:p w:rsidR="08824CFA" w:rsidP="08824CFA" w:rsidRDefault="08824CFA" w14:paraId="4477A2C5" w14:textId="27495E6E">
            <w:pPr>
              <w:spacing w:after="5" w:line="276" w:lineRule="auto"/>
              <w:ind w:left="0" w:hanging="10" w:firstLine="0"/>
              <w:rPr>
                <w:rFonts w:ascii="Aptos" w:hAnsi="Aptos" w:eastAsia="Aptos" w:cs="Aptos"/>
                <w:b w:val="0"/>
                <w:bCs w:val="0"/>
                <w:i w:val="0"/>
                <w:iCs w:val="0"/>
                <w:color w:val="FFFFFF" w:themeColor="background1" w:themeTint="FF" w:themeShade="FF"/>
                <w:sz w:val="22"/>
                <w:szCs w:val="22"/>
              </w:rPr>
            </w:pPr>
            <w:r w:rsidRPr="08824CFA" w:rsidR="08824CFA">
              <w:rPr>
                <w:rFonts w:ascii="Aptos" w:hAnsi="Aptos" w:eastAsia="Aptos" w:cs="Aptos"/>
                <w:b w:val="1"/>
                <w:bCs w:val="1"/>
                <w:i w:val="0"/>
                <w:iCs w:val="0"/>
                <w:color w:val="FFFFFF" w:themeColor="background1" w:themeTint="FF" w:themeShade="FF"/>
                <w:sz w:val="22"/>
                <w:szCs w:val="22"/>
                <w:lang w:val="en-GB"/>
              </w:rPr>
              <w:t>Resource</w:t>
            </w:r>
          </w:p>
        </w:tc>
        <w:tc>
          <w:tcPr>
            <w:tcW w:w="5386" w:type="dxa"/>
            <w:shd w:val="clear" w:color="auto" w:fill="002060"/>
            <w:tcMar>
              <w:left w:w="105" w:type="dxa"/>
              <w:right w:w="105" w:type="dxa"/>
            </w:tcMar>
            <w:vAlign w:val="top"/>
          </w:tcPr>
          <w:p w:rsidR="08824CFA" w:rsidP="08824CFA" w:rsidRDefault="08824CFA" w14:paraId="4D0BAE8C" w14:textId="3E8024EC">
            <w:pPr>
              <w:spacing w:after="5" w:line="276" w:lineRule="auto"/>
              <w:ind w:left="0" w:hanging="10" w:firstLine="0"/>
              <w:rPr>
                <w:rFonts w:ascii="Aptos" w:hAnsi="Aptos" w:eastAsia="Aptos" w:cs="Aptos"/>
                <w:b w:val="0"/>
                <w:bCs w:val="0"/>
                <w:i w:val="0"/>
                <w:iCs w:val="0"/>
                <w:color w:val="FFFFFF" w:themeColor="background1" w:themeTint="FF" w:themeShade="FF"/>
                <w:sz w:val="22"/>
                <w:szCs w:val="22"/>
              </w:rPr>
            </w:pPr>
            <w:r w:rsidRPr="08824CFA" w:rsidR="08824CFA">
              <w:rPr>
                <w:rFonts w:ascii="Aptos" w:hAnsi="Aptos" w:eastAsia="Aptos" w:cs="Aptos"/>
                <w:b w:val="1"/>
                <w:bCs w:val="1"/>
                <w:i w:val="0"/>
                <w:iCs w:val="0"/>
                <w:color w:val="FFFFFF" w:themeColor="background1" w:themeTint="FF" w:themeShade="FF"/>
                <w:sz w:val="22"/>
                <w:szCs w:val="22"/>
                <w:lang w:val="en-GB"/>
              </w:rPr>
              <w:t xml:space="preserve">Web location  </w:t>
            </w:r>
          </w:p>
        </w:tc>
      </w:tr>
      <w:tr w:rsidR="08824CFA" w:rsidTr="08824CFA" w14:paraId="1947A8A1">
        <w:trPr>
          <w:trHeight w:val="300"/>
        </w:trPr>
        <w:tc>
          <w:tcPr>
            <w:tcW w:w="1742" w:type="dxa"/>
            <w:tcMar>
              <w:left w:w="105" w:type="dxa"/>
              <w:right w:w="105" w:type="dxa"/>
            </w:tcMar>
            <w:vAlign w:val="top"/>
          </w:tcPr>
          <w:p w:rsidR="08824CFA" w:rsidP="08824CFA" w:rsidRDefault="08824CFA" w14:paraId="70B07CC4" w14:textId="76EB0AA9">
            <w:pPr>
              <w:spacing w:after="5" w:line="276" w:lineRule="auto"/>
              <w:ind w:left="0" w:hanging="10" w:firstLine="0"/>
              <w:rPr>
                <w:rFonts w:ascii="Aptos" w:hAnsi="Aptos" w:eastAsia="Aptos" w:cs="Aptos"/>
                <w:b w:val="0"/>
                <w:bCs w:val="0"/>
                <w:i w:val="0"/>
                <w:iCs w:val="0"/>
                <w:color w:val="000000" w:themeColor="text1" w:themeTint="FF" w:themeShade="FF"/>
                <w:sz w:val="22"/>
                <w:szCs w:val="22"/>
              </w:rPr>
            </w:pPr>
            <w:r w:rsidRPr="08824CFA" w:rsidR="08824CFA">
              <w:rPr>
                <w:rFonts w:ascii="Aptos" w:hAnsi="Aptos" w:eastAsia="Aptos" w:cs="Aptos"/>
                <w:b w:val="0"/>
                <w:bCs w:val="0"/>
                <w:i w:val="0"/>
                <w:iCs w:val="0"/>
                <w:color w:val="000000" w:themeColor="text1" w:themeTint="FF" w:themeShade="FF"/>
                <w:sz w:val="22"/>
                <w:szCs w:val="22"/>
                <w:lang w:val="en-GB"/>
              </w:rPr>
              <w:t xml:space="preserve">ETBI Library </w:t>
            </w:r>
          </w:p>
        </w:tc>
        <w:tc>
          <w:tcPr>
            <w:tcW w:w="2232" w:type="dxa"/>
            <w:tcMar>
              <w:left w:w="105" w:type="dxa"/>
              <w:right w:w="105" w:type="dxa"/>
            </w:tcMar>
            <w:vAlign w:val="top"/>
          </w:tcPr>
          <w:p w:rsidR="08824CFA" w:rsidP="08824CFA" w:rsidRDefault="08824CFA" w14:paraId="2F0FCD53" w14:textId="1E80120E">
            <w:pPr>
              <w:spacing w:after="5" w:line="276" w:lineRule="auto"/>
              <w:ind w:left="0" w:hanging="10" w:firstLine="0"/>
              <w:rPr>
                <w:rFonts w:ascii="Aptos" w:hAnsi="Aptos" w:eastAsia="Aptos" w:cs="Aptos"/>
                <w:b w:val="0"/>
                <w:bCs w:val="0"/>
                <w:i w:val="0"/>
                <w:iCs w:val="0"/>
                <w:color w:val="000000" w:themeColor="text1" w:themeTint="FF" w:themeShade="FF"/>
                <w:sz w:val="22"/>
                <w:szCs w:val="22"/>
              </w:rPr>
            </w:pPr>
            <w:r w:rsidRPr="08824CFA" w:rsidR="08824CFA">
              <w:rPr>
                <w:rFonts w:ascii="Aptos" w:hAnsi="Aptos" w:eastAsia="Aptos" w:cs="Aptos"/>
                <w:b w:val="0"/>
                <w:bCs w:val="0"/>
                <w:i w:val="0"/>
                <w:iCs w:val="0"/>
                <w:color w:val="000000" w:themeColor="text1" w:themeTint="FF" w:themeShade="FF"/>
                <w:sz w:val="22"/>
                <w:szCs w:val="22"/>
                <w:lang w:val="en-GB"/>
              </w:rPr>
              <w:t>Referencing guide</w:t>
            </w:r>
          </w:p>
        </w:tc>
        <w:tc>
          <w:tcPr>
            <w:tcW w:w="5386" w:type="dxa"/>
            <w:tcMar>
              <w:left w:w="105" w:type="dxa"/>
              <w:right w:w="105" w:type="dxa"/>
            </w:tcMar>
            <w:vAlign w:val="top"/>
          </w:tcPr>
          <w:p w:rsidR="08824CFA" w:rsidP="08824CFA" w:rsidRDefault="08824CFA" w14:paraId="52CAE211" w14:textId="2E491581">
            <w:pPr>
              <w:spacing w:after="5" w:line="276" w:lineRule="auto"/>
              <w:ind w:left="0" w:hanging="10" w:firstLine="0"/>
              <w:rPr>
                <w:rFonts w:ascii="Aptos" w:hAnsi="Aptos" w:eastAsia="Aptos" w:cs="Aptos"/>
                <w:b w:val="0"/>
                <w:bCs w:val="0"/>
                <w:i w:val="0"/>
                <w:iCs w:val="0"/>
                <w:color w:val="000000" w:themeColor="text1" w:themeTint="FF" w:themeShade="FF"/>
                <w:sz w:val="22"/>
                <w:szCs w:val="22"/>
              </w:rPr>
            </w:pPr>
            <w:hyperlink r:id="Rac9cd2d5ba06430a">
              <w:r w:rsidRPr="08824CFA" w:rsidR="08824CFA">
                <w:rPr>
                  <w:rStyle w:val="Hyperlink"/>
                  <w:rFonts w:ascii="Aptos" w:hAnsi="Aptos" w:eastAsia="Aptos" w:cs="Aptos"/>
                  <w:b w:val="0"/>
                  <w:bCs w:val="0"/>
                  <w:i w:val="0"/>
                  <w:iCs w:val="0"/>
                  <w:strike w:val="0"/>
                  <w:dstrike w:val="0"/>
                  <w:sz w:val="22"/>
                  <w:szCs w:val="22"/>
                  <w:lang w:val="en-GB"/>
                </w:rPr>
                <w:t>https://library.etbi.ie/referencing</w:t>
              </w:r>
            </w:hyperlink>
            <w:r w:rsidRPr="08824CFA" w:rsidR="08824CFA">
              <w:rPr>
                <w:rFonts w:ascii="Aptos" w:hAnsi="Aptos" w:eastAsia="Aptos" w:cs="Aptos"/>
                <w:b w:val="0"/>
                <w:bCs w:val="0"/>
                <w:i w:val="0"/>
                <w:iCs w:val="0"/>
                <w:color w:val="000000" w:themeColor="text1" w:themeTint="FF" w:themeShade="FF"/>
                <w:sz w:val="22"/>
                <w:szCs w:val="22"/>
                <w:lang w:val="en-GB"/>
              </w:rPr>
              <w:t xml:space="preserve"> </w:t>
            </w:r>
          </w:p>
        </w:tc>
      </w:tr>
      <w:tr w:rsidR="08824CFA" w:rsidTr="08824CFA" w14:paraId="1843439A">
        <w:trPr>
          <w:trHeight w:val="300"/>
        </w:trPr>
        <w:tc>
          <w:tcPr>
            <w:tcW w:w="1742" w:type="dxa"/>
            <w:tcMar>
              <w:left w:w="105" w:type="dxa"/>
              <w:right w:w="105" w:type="dxa"/>
            </w:tcMar>
            <w:vAlign w:val="top"/>
          </w:tcPr>
          <w:p w:rsidR="08824CFA" w:rsidP="08824CFA" w:rsidRDefault="08824CFA" w14:paraId="199FD88F" w14:textId="2AF76672">
            <w:pPr>
              <w:spacing w:after="5" w:line="276" w:lineRule="auto"/>
              <w:ind w:left="0" w:hanging="10" w:firstLine="0"/>
              <w:rPr>
                <w:rFonts w:ascii="Aptos" w:hAnsi="Aptos" w:eastAsia="Aptos" w:cs="Aptos"/>
                <w:b w:val="0"/>
                <w:bCs w:val="0"/>
                <w:i w:val="0"/>
                <w:iCs w:val="0"/>
                <w:color w:val="000000" w:themeColor="text1" w:themeTint="FF" w:themeShade="FF"/>
                <w:sz w:val="22"/>
                <w:szCs w:val="22"/>
              </w:rPr>
            </w:pPr>
            <w:r w:rsidRPr="08824CFA" w:rsidR="08824CFA">
              <w:rPr>
                <w:rFonts w:ascii="Aptos" w:hAnsi="Aptos" w:eastAsia="Aptos" w:cs="Aptos"/>
                <w:b w:val="0"/>
                <w:bCs w:val="0"/>
                <w:i w:val="0"/>
                <w:iCs w:val="0"/>
                <w:color w:val="000000" w:themeColor="text1" w:themeTint="FF" w:themeShade="FF"/>
                <w:sz w:val="22"/>
                <w:szCs w:val="22"/>
                <w:lang w:val="en-GB"/>
              </w:rPr>
              <w:t xml:space="preserve">ETBI Library </w:t>
            </w:r>
          </w:p>
        </w:tc>
        <w:tc>
          <w:tcPr>
            <w:tcW w:w="2232" w:type="dxa"/>
            <w:tcMar>
              <w:left w:w="105" w:type="dxa"/>
              <w:right w:w="105" w:type="dxa"/>
            </w:tcMar>
            <w:vAlign w:val="top"/>
          </w:tcPr>
          <w:p w:rsidR="08824CFA" w:rsidP="08824CFA" w:rsidRDefault="08824CFA" w14:paraId="7843766D" w14:textId="645B0174">
            <w:pPr>
              <w:spacing w:after="5" w:line="276" w:lineRule="auto"/>
              <w:ind w:left="0" w:hanging="10" w:firstLine="0"/>
              <w:rPr>
                <w:rFonts w:ascii="Aptos" w:hAnsi="Aptos" w:eastAsia="Aptos" w:cs="Aptos"/>
                <w:b w:val="0"/>
                <w:bCs w:val="0"/>
                <w:i w:val="0"/>
                <w:iCs w:val="0"/>
                <w:color w:val="000000" w:themeColor="text1" w:themeTint="FF" w:themeShade="FF"/>
                <w:sz w:val="22"/>
                <w:szCs w:val="22"/>
              </w:rPr>
            </w:pPr>
            <w:r w:rsidRPr="08824CFA" w:rsidR="08824CFA">
              <w:rPr>
                <w:rFonts w:ascii="Aptos" w:hAnsi="Aptos" w:eastAsia="Aptos" w:cs="Aptos"/>
                <w:b w:val="0"/>
                <w:bCs w:val="0"/>
                <w:i w:val="0"/>
                <w:iCs w:val="0"/>
                <w:color w:val="000000" w:themeColor="text1" w:themeTint="FF" w:themeShade="FF"/>
                <w:sz w:val="22"/>
                <w:szCs w:val="22"/>
                <w:lang w:val="en-GB"/>
              </w:rPr>
              <w:t xml:space="preserve">Academic integrity guide </w:t>
            </w:r>
          </w:p>
        </w:tc>
        <w:tc>
          <w:tcPr>
            <w:tcW w:w="5386" w:type="dxa"/>
            <w:tcBorders>
              <w:bottom w:val="single" w:sz="6"/>
            </w:tcBorders>
            <w:tcMar>
              <w:left w:w="105" w:type="dxa"/>
              <w:right w:w="105" w:type="dxa"/>
            </w:tcMar>
            <w:vAlign w:val="top"/>
          </w:tcPr>
          <w:p w:rsidR="08824CFA" w:rsidP="08824CFA" w:rsidRDefault="08824CFA" w14:paraId="65A6FACA" w14:textId="106A7AB8">
            <w:pPr>
              <w:spacing w:after="5" w:line="276" w:lineRule="auto"/>
              <w:ind w:left="0" w:hanging="10" w:firstLine="0"/>
              <w:rPr>
                <w:rFonts w:ascii="Aptos" w:hAnsi="Aptos" w:eastAsia="Aptos" w:cs="Aptos"/>
                <w:b w:val="0"/>
                <w:bCs w:val="0"/>
                <w:i w:val="0"/>
                <w:iCs w:val="0"/>
                <w:color w:val="000000" w:themeColor="text1" w:themeTint="FF" w:themeShade="FF"/>
                <w:sz w:val="22"/>
                <w:szCs w:val="22"/>
                <w:lang w:val="en-GB"/>
              </w:rPr>
            </w:pPr>
            <w:hyperlink r:id="R052c4010527a4fb8">
              <w:r w:rsidRPr="08824CFA" w:rsidR="08824CFA">
                <w:rPr>
                  <w:rStyle w:val="Hyperlink"/>
                  <w:rFonts w:ascii="Aptos" w:hAnsi="Aptos" w:eastAsia="Aptos" w:cs="Aptos"/>
                  <w:b w:val="0"/>
                  <w:bCs w:val="0"/>
                  <w:i w:val="0"/>
                  <w:iCs w:val="0"/>
                  <w:strike w:val="0"/>
                  <w:dstrike w:val="0"/>
                  <w:sz w:val="22"/>
                  <w:szCs w:val="22"/>
                  <w:lang w:val="en-GB"/>
                </w:rPr>
                <w:t>https://library.etbi.ie/ld.php?content_id=34423196</w:t>
              </w:r>
            </w:hyperlink>
          </w:p>
        </w:tc>
      </w:tr>
    </w:tbl>
    <w:p xmlns:wp14="http://schemas.microsoft.com/office/word/2010/wordml" wp14:paraId="2C078E63" wp14:textId="7ED75442"/>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5">
    <w:nsid w:val="372bcd4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5a1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93f1e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ffcff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97360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00464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9fdd6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213aa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de22e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8fde0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40be0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e9755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fa21e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ecea8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6301d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C018"/>
    <w:rsid w:val="00E5C018"/>
    <w:rsid w:val="08824CFA"/>
    <w:rsid w:val="29469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5C018"/>
  <w15:chartTrackingRefBased/>
  <w15:docId w15:val="{2B47833C-67D0-487A-802D-226F2C6649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paragraph" w:customStyle="true">
    <w:uiPriority w:val="1"/>
    <w:name w:val="paragraph"/>
    <w:basedOn w:val="Normal"/>
    <w:rsid w:val="08824CFA"/>
    <w:rPr>
      <w:rFonts w:ascii="Times New Roman" w:hAnsi="Times New Roman" w:eastAsia="Times New Roman" w:cs="Times New Roman" w:asciiTheme="minorAscii" w:hAnsiTheme="minorAscii" w:eastAsiaTheme="minorAscii" w:cstheme="minorBidi"/>
      <w:color w:val="auto"/>
      <w:sz w:val="24"/>
      <w:szCs w:val="24"/>
      <w:lang w:val="en-GB" w:eastAsia="en-IE"/>
    </w:rPr>
    <w:pPr>
      <w:spacing w:beforeAutospacing="on" w:after="5" w:afterAutospacing="on" w:line="240" w:lineRule="auto"/>
      <w:ind w:left="0" w:hanging="10" w:firstLine="0"/>
    </w:pPr>
  </w:style>
  <w:style w:type="paragraph" w:styleId="ListParagraph">
    <w:uiPriority w:val="34"/>
    <w:name w:val="List Paragraph"/>
    <w:basedOn w:val="Normal"/>
    <w:qFormat/>
    <w:rsid w:val="08824CFA"/>
    <w:pPr>
      <w:spacing/>
      <w:ind w:left="720"/>
      <w:contextualSpacing/>
    </w:pPr>
  </w:style>
  <w:style w:type="character" w:styleId="Hyperlink">
    <w:uiPriority w:val="99"/>
    <w:name w:val="Hyperlink"/>
    <w:basedOn w:val="DefaultParagraphFont"/>
    <w:unhideWhenUsed/>
    <w:rsid w:val="08824CFA"/>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052c4010527a4fb8" Type="http://schemas.openxmlformats.org/officeDocument/2006/relationships/hyperlink" Target="https://library.etbi.ie/ld.php?content_id=34423196" TargetMode="External"/><Relationship Id="rId7" Type="http://schemas.openxmlformats.org/officeDocument/2006/relationships/customXml" Target="../customXml/item2.xml"/><Relationship Id="rId2" Type="http://schemas.openxmlformats.org/officeDocument/2006/relationships/settings" Target="settings.xml"/><Relationship Id="R7b6ccba563374bb4" Type="http://schemas.openxmlformats.org/officeDocument/2006/relationships/hyperlink" Target="https://fess.ie/images/stories/ResourcesForTutors/AcademicWritingHandbookForLearnersInTheFETSector.pdf" TargetMode="External"/><Relationship Id="Reaba8adf85ec454f"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7b9959559c57483a" Type="http://schemas.openxmlformats.org/officeDocument/2006/relationships/hyperlink" Target="https://www.fess.ie/images/stories/ResourcesForTutors/Referencing_Handbook_files/Referencing_Handbook_February_2019.pdf" TargetMode="External"/><Relationship Id="Rac9cd2d5ba06430a" Type="http://schemas.openxmlformats.org/officeDocument/2006/relationships/hyperlink" Target="https://library.etbi.ie/referencing" TargetMode="Externa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ce844a-3414-47bc-be42-35076de08631">
      <UserInfo>
        <DisplayName/>
        <AccountId xsi:nil="true"/>
        <AccountType/>
      </UserInfo>
    </SharedWithUsers>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Props1.xml><?xml version="1.0" encoding="utf-8"?>
<ds:datastoreItem xmlns:ds="http://schemas.openxmlformats.org/officeDocument/2006/customXml" ds:itemID="{9D1B347B-0C2E-4731-9DAF-00BABFE01D6A}"/>
</file>

<file path=customXml/itemProps2.xml><?xml version="1.0" encoding="utf-8"?>
<ds:datastoreItem xmlns:ds="http://schemas.openxmlformats.org/officeDocument/2006/customXml" ds:itemID="{96B92321-BB9E-4C37-8BED-83A3CD78A7D6}"/>
</file>

<file path=customXml/itemProps3.xml><?xml version="1.0" encoding="utf-8"?>
<ds:datastoreItem xmlns:ds="http://schemas.openxmlformats.org/officeDocument/2006/customXml" ds:itemID="{2EA41095-95EB-4B83-BC3C-25A21552DC9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Keane</dc:creator>
  <cp:keywords/>
  <dc:description/>
  <cp:lastModifiedBy>Anne Marie Keane</cp:lastModifiedBy>
  <dcterms:created xsi:type="dcterms:W3CDTF">2025-04-11T14:54:40Z</dcterms:created>
  <dcterms:modified xsi:type="dcterms:W3CDTF">2025-04-11T14:55:21Z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0x0101008969C5DDFA2D31489F34CE99EFB94260</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