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B09E8" w:rsidR="00196DD8" w:rsidP="00196DD8" w:rsidRDefault="00196DD8" w14:paraId="5110AF23" w14:textId="0EC539FF">
      <w:pPr>
        <w:jc w:val="both"/>
        <w:rPr>
          <w:rFonts w:cstheme="minorHAnsi"/>
          <w:sz w:val="20"/>
          <w:szCs w:val="20"/>
        </w:rPr>
      </w:pPr>
      <w:r w:rsidRPr="001B09E8">
        <w:rPr>
          <w:rFonts w:cstheme="minorHAnsi"/>
          <w:sz w:val="20"/>
          <w:szCs w:val="20"/>
        </w:rPr>
        <w:tab/>
      </w:r>
    </w:p>
    <w:p w:rsidRPr="001B09E8" w:rsidR="00196DD8" w:rsidP="00196DD8" w:rsidRDefault="00196DD8" w14:paraId="081BA3EA" w14:textId="04C4F9C3">
      <w:pPr>
        <w:spacing w:line="360" w:lineRule="auto"/>
        <w:jc w:val="both"/>
        <w:rPr>
          <w:rFonts w:cstheme="minorHAnsi"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Module Title:</w:t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>Communications</w:t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</w:p>
    <w:p w:rsidRPr="001B09E8" w:rsidR="00196DD8" w:rsidP="00196DD8" w:rsidRDefault="00196DD8" w14:paraId="276C0573" w14:textId="25E07AB1">
      <w:pPr>
        <w:spacing w:line="360" w:lineRule="auto"/>
        <w:jc w:val="both"/>
        <w:rPr>
          <w:rFonts w:cstheme="minorHAnsi"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Module Code:</w:t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>3N0880</w:t>
      </w:r>
      <w:r w:rsidRPr="001B09E8">
        <w:rPr>
          <w:rFonts w:cstheme="minorHAnsi"/>
          <w:sz w:val="24"/>
          <w:szCs w:val="24"/>
        </w:rPr>
        <w:tab/>
      </w:r>
    </w:p>
    <w:p w:rsidRPr="001B09E8" w:rsidR="00196DD8" w:rsidP="00196DD8" w:rsidRDefault="00196DD8" w14:paraId="7619E484" w14:textId="441C4B25">
      <w:pPr>
        <w:spacing w:line="360" w:lineRule="auto"/>
        <w:jc w:val="both"/>
        <w:rPr>
          <w:rFonts w:cstheme="minorHAnsi"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Module Level:</w:t>
      </w:r>
      <w:r w:rsidRPr="001B09E8">
        <w:rPr>
          <w:rFonts w:cstheme="minorHAnsi"/>
          <w:sz w:val="24"/>
          <w:szCs w:val="24"/>
        </w:rPr>
        <w:tab/>
      </w:r>
      <w:r w:rsidRPr="001B09E8" w:rsidR="005F492E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>Three</w:t>
      </w:r>
    </w:p>
    <w:p w:rsidRPr="001B09E8" w:rsidR="00196DD8" w:rsidP="00196DD8" w:rsidRDefault="00196DD8" w14:paraId="5A6090B1" w14:textId="51E33AB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Assessment Technique:</w:t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ab/>
      </w:r>
      <w:r w:rsidRPr="001B09E8">
        <w:rPr>
          <w:rFonts w:cstheme="minorHAnsi"/>
          <w:sz w:val="24"/>
          <w:szCs w:val="24"/>
        </w:rPr>
        <w:t>Collection of Work</w:t>
      </w:r>
      <w:r w:rsidRPr="001B09E8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669" w:tblpY="52"/>
        <w:tblW w:w="0" w:type="auto"/>
        <w:tblLook w:val="04A0" w:firstRow="1" w:lastRow="0" w:firstColumn="1" w:lastColumn="0" w:noHBand="0" w:noVBand="1"/>
      </w:tblPr>
      <w:tblGrid>
        <w:gridCol w:w="4880"/>
      </w:tblGrid>
      <w:tr w:rsidRPr="001B09E8" w:rsidR="00AC0735" w:rsidTr="00AC0735" w14:paraId="65AF9ACD" w14:textId="77777777">
        <w:trPr>
          <w:trHeight w:val="773"/>
        </w:trPr>
        <w:tc>
          <w:tcPr>
            <w:tcW w:w="4880" w:type="dxa"/>
          </w:tcPr>
          <w:p w:rsidRPr="001B09E8" w:rsidR="00AC0735" w:rsidP="00AC0735" w:rsidRDefault="00AC0735" w14:paraId="7DB3617B" w14:textId="705A7D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B09E8">
              <w:rPr>
                <w:rStyle w:val="normaltextrun"/>
                <w:rFonts w:asciiTheme="minorHAnsi" w:hAnsiTheme="minorHAnsi" w:cstheme="minorHAnsi"/>
              </w:rPr>
              <w:t>1.1, 1.2, 1.3, 1.4, 2.1, 2.2, 3.4 and 3.6</w:t>
            </w:r>
            <w:r w:rsidRPr="001B09E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:rsidRPr="001B09E8" w:rsidR="00AC0735" w:rsidP="00196DD8" w:rsidRDefault="00AC0735" w14:paraId="660397FF" w14:textId="7777777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Learning Outcomes:</w:t>
      </w:r>
      <w:r w:rsidRPr="001B09E8">
        <w:rPr>
          <w:rFonts w:cstheme="minorHAnsi"/>
          <w:b/>
          <w:bCs/>
          <w:sz w:val="24"/>
          <w:szCs w:val="24"/>
        </w:rPr>
        <w:tab/>
      </w:r>
      <w:r w:rsidRPr="001B09E8">
        <w:rPr>
          <w:rFonts w:cstheme="minorHAnsi"/>
          <w:b/>
          <w:bCs/>
          <w:sz w:val="24"/>
          <w:szCs w:val="24"/>
        </w:rPr>
        <w:tab/>
      </w:r>
    </w:p>
    <w:p w:rsidRPr="001B09E8" w:rsidR="00AC0735" w:rsidP="00196DD8" w:rsidRDefault="00AC0735" w14:paraId="1550C199" w14:textId="7122FAF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Pr="001B09E8" w:rsidR="005F492E" w:rsidP="36709A99" w:rsidRDefault="00196DD8" w14:paraId="0D190EAB" w14:textId="6FD85F65">
      <w:pPr>
        <w:spacing w:line="360" w:lineRule="auto"/>
        <w:ind w:left="3600" w:hanging="3600"/>
        <w:rPr>
          <w:rFonts w:cs="Calibri" w:cstheme="minorAscii"/>
          <w:sz w:val="24"/>
          <w:szCs w:val="24"/>
        </w:rPr>
      </w:pPr>
      <w:r w:rsidRPr="36709A99" w:rsidR="00196DD8">
        <w:rPr>
          <w:rFonts w:cs="Calibri" w:cstheme="minorAscii"/>
          <w:b w:val="1"/>
          <w:bCs w:val="1"/>
          <w:sz w:val="24"/>
          <w:szCs w:val="24"/>
        </w:rPr>
        <w:t>Assignment Guidelines:</w:t>
      </w:r>
      <w:r>
        <w:tab/>
      </w:r>
      <w:r w:rsidRPr="36709A99" w:rsidR="00196DD8">
        <w:rPr>
          <w:rFonts w:cs="Calibri" w:cstheme="minorAscii"/>
          <w:sz w:val="24"/>
          <w:szCs w:val="24"/>
        </w:rPr>
        <w:t>As part of this ass</w:t>
      </w:r>
      <w:r w:rsidRPr="36709A99" w:rsidR="1DE12D1E">
        <w:rPr>
          <w:rFonts w:cs="Calibri" w:cstheme="minorAscii"/>
          <w:sz w:val="24"/>
          <w:szCs w:val="24"/>
        </w:rPr>
        <w:t>ess</w:t>
      </w:r>
      <w:r w:rsidRPr="36709A99" w:rsidR="00196DD8">
        <w:rPr>
          <w:rFonts w:cs="Calibri" w:cstheme="minorAscii"/>
          <w:sz w:val="24"/>
          <w:szCs w:val="24"/>
        </w:rPr>
        <w:t xml:space="preserve">ment, you must attempt all aspects of the brief, that is, you will read a novella, write an alternative ending to the piece of </w:t>
      </w:r>
      <w:r w:rsidRPr="36709A99" w:rsidR="00281A5D">
        <w:rPr>
          <w:rFonts w:cs="Calibri" w:cstheme="minorAscii"/>
          <w:sz w:val="24"/>
          <w:szCs w:val="24"/>
        </w:rPr>
        <w:t>genre, share this with your group, create a short report that includes: (a) title, (b) terms of reference, (c) methodology, (d) findings, (e) conclusion and (f) recommendations.</w:t>
      </w:r>
    </w:p>
    <w:p w:rsidRPr="001B09E8" w:rsidR="005F492E" w:rsidRDefault="005F492E" w14:paraId="416355A3" w14:textId="77777777">
      <w:pPr>
        <w:rPr>
          <w:rFonts w:cstheme="minorHAnsi"/>
          <w:sz w:val="24"/>
          <w:szCs w:val="24"/>
        </w:rPr>
      </w:pPr>
      <w:r w:rsidRPr="001B09E8">
        <w:rPr>
          <w:rFonts w:cstheme="minorHAnsi"/>
          <w:sz w:val="24"/>
          <w:szCs w:val="24"/>
        </w:rPr>
        <w:br w:type="page"/>
      </w:r>
    </w:p>
    <w:p w:rsidRPr="001B09E8" w:rsidR="003844DD" w:rsidP="00196DD8" w:rsidRDefault="003844DD" w14:paraId="3ADEFEE5" w14:textId="710EF27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Assignment: Section Six: Novella – Of Mice and Men – John Steinbeck</w:t>
      </w:r>
    </w:p>
    <w:p w:rsidRPr="001B09E8" w:rsidR="003844DD" w:rsidP="009014B8" w:rsidRDefault="009014B8" w14:paraId="2E78DB0B" w14:textId="03EE492E">
      <w:pPr>
        <w:spacing w:line="360" w:lineRule="auto"/>
        <w:jc w:val="center"/>
        <w:rPr>
          <w:rFonts w:cstheme="minorHAnsi"/>
          <w:sz w:val="24"/>
          <w:szCs w:val="24"/>
        </w:rPr>
      </w:pPr>
      <w:r w:rsidRPr="001B09E8">
        <w:rPr>
          <w:rFonts w:cstheme="minorHAnsi"/>
          <w:noProof/>
          <w:sz w:val="24"/>
          <w:szCs w:val="24"/>
        </w:rPr>
        <w:drawing>
          <wp:inline distT="0" distB="0" distL="0" distR="0" wp14:anchorId="677A2E91" wp14:editId="37A7008D">
            <wp:extent cx="1447800" cy="208793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240" b="7774"/>
                    <a:stretch/>
                  </pic:blipFill>
                  <pic:spPr bwMode="auto">
                    <a:xfrm>
                      <a:off x="0" y="0"/>
                      <a:ext cx="1457340" cy="2101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B09E8" w:rsidR="009014B8" w:rsidP="001B09E8" w:rsidRDefault="00F45EC9" w14:paraId="7D3DBFF9" w14:textId="773C80CA">
      <w:pPr>
        <w:spacing w:line="360" w:lineRule="auto"/>
        <w:ind w:left="1134" w:hanging="113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Pr="001B09E8" w:rsidR="009B77D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</w:t>
      </w: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ne:</w:t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 xml:space="preserve">Read novella, Of Mice and Men by John Steinbeck, then as a class group, discuss the novella, you might want to think about the novella as a piece of literature, was it enjoyable, could you relate to the </w:t>
      </w:r>
      <w:r w:rsidRPr="001B09E8" w:rsidR="009014B8">
        <w:rPr>
          <w:rFonts w:cstheme="minorHAnsi"/>
          <w:color w:val="000000"/>
          <w:sz w:val="24"/>
          <w:szCs w:val="24"/>
          <w:shd w:val="clear" w:color="auto" w:fill="FFFFFF"/>
        </w:rPr>
        <w:t>characters and the storyline, what did you think of the ending, discuss different outcomes to the novella that you would like to see happening.</w:t>
      </w:r>
    </w:p>
    <w:p w:rsidRPr="001B09E8" w:rsidR="009014B8" w:rsidP="001B09E8" w:rsidRDefault="009014B8" w14:paraId="49BC595F" w14:textId="2E7324BE">
      <w:pPr>
        <w:spacing w:line="360" w:lineRule="auto"/>
        <w:ind w:left="1134" w:hanging="113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Pr="001B09E8" w:rsidR="009B77D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</w:t>
      </w: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wo:</w:t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>In 200-250 words, write an alternative ending to ‘Of Mice and Men’ and place it in your learning journal.</w:t>
      </w:r>
    </w:p>
    <w:p w:rsidRPr="001B09E8" w:rsidR="009014B8" w:rsidP="001B09E8" w:rsidRDefault="009014B8" w14:paraId="1E254C57" w14:textId="6DE585A8">
      <w:pPr>
        <w:spacing w:line="360" w:lineRule="auto"/>
        <w:ind w:left="1134" w:hanging="113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Pr="001B09E8" w:rsidR="009B77D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</w:t>
      </w: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hree:</w:t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>Share your alternative ending with your group verbally.</w:t>
      </w:r>
    </w:p>
    <w:p w:rsidRPr="001B09E8" w:rsidR="00196DD8" w:rsidP="001B09E8" w:rsidRDefault="009014B8" w14:paraId="50FDE32E" w14:textId="19D7B7D2">
      <w:pPr>
        <w:spacing w:line="360" w:lineRule="auto"/>
        <w:ind w:left="1134" w:hanging="1134"/>
        <w:rPr>
          <w:rFonts w:cstheme="minorHAnsi"/>
          <w:sz w:val="24"/>
          <w:szCs w:val="24"/>
        </w:rPr>
      </w:pP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Pr="001B09E8" w:rsidR="009B77D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F</w:t>
      </w:r>
      <w:r w:rsidRPr="001B09E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our:</w:t>
      </w:r>
      <w:r w:rsidRPr="001B09E8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1B09E8" w:rsidR="00196DD8">
        <w:rPr>
          <w:rStyle w:val="normaltextrun"/>
          <w:rFonts w:cstheme="minorHAnsi"/>
          <w:sz w:val="24"/>
          <w:szCs w:val="24"/>
        </w:rPr>
        <w:t>Create a short report that includes</w:t>
      </w:r>
      <w:r w:rsidRPr="001B09E8" w:rsidR="00B85754">
        <w:rPr>
          <w:rStyle w:val="normaltextrun"/>
          <w:rFonts w:cstheme="minorHAnsi"/>
          <w:sz w:val="24"/>
          <w:szCs w:val="24"/>
        </w:rPr>
        <w:t>:</w:t>
      </w:r>
      <w:r w:rsidRPr="001B09E8" w:rsidR="00196DD8">
        <w:rPr>
          <w:rStyle w:val="eop"/>
          <w:rFonts w:cstheme="minorHAnsi"/>
          <w:sz w:val="24"/>
          <w:szCs w:val="24"/>
        </w:rPr>
        <w:t> </w:t>
      </w:r>
    </w:p>
    <w:p w:rsidRPr="001B09E8" w:rsidR="00196DD8" w:rsidP="001B09E8" w:rsidRDefault="00196DD8" w14:paraId="37014117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(a) </w:t>
      </w:r>
      <w:r w:rsidRPr="001B09E8">
        <w:rPr>
          <w:rStyle w:val="normaltextrun"/>
          <w:rFonts w:asciiTheme="minorHAnsi" w:hAnsiTheme="minorHAnsi" w:cstheme="minorHAnsi"/>
          <w:b/>
          <w:bCs/>
        </w:rPr>
        <w:t>Title:</w:t>
      </w:r>
      <w:r w:rsidRPr="001B09E8">
        <w:rPr>
          <w:rStyle w:val="normaltextrun"/>
          <w:rFonts w:asciiTheme="minorHAnsi" w:hAnsiTheme="minorHAnsi" w:cstheme="minorHAnsi"/>
        </w:rPr>
        <w:t xml:space="preserve"> (Give your report a specific title)</w:t>
      </w:r>
      <w:r w:rsidRPr="001B09E8">
        <w:rPr>
          <w:rStyle w:val="eop"/>
          <w:rFonts w:asciiTheme="minorHAnsi" w:hAnsiTheme="minorHAnsi" w:cstheme="minorHAnsi"/>
        </w:rPr>
        <w:t> </w:t>
      </w:r>
    </w:p>
    <w:p w:rsidRPr="001B09E8" w:rsidR="00196DD8" w:rsidP="001B09E8" w:rsidRDefault="00196DD8" w14:paraId="462ADFFA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(b) </w:t>
      </w:r>
      <w:r w:rsidRPr="001B09E8">
        <w:rPr>
          <w:rStyle w:val="normaltextrun"/>
          <w:rFonts w:asciiTheme="minorHAnsi" w:hAnsiTheme="minorHAnsi" w:cstheme="minorHAnsi"/>
          <w:b/>
          <w:bCs/>
        </w:rPr>
        <w:t>Terms of Reference:</w:t>
      </w:r>
      <w:r w:rsidRPr="001B09E8">
        <w:rPr>
          <w:rStyle w:val="normaltextrun"/>
          <w:rFonts w:asciiTheme="minorHAnsi" w:hAnsiTheme="minorHAnsi" w:cstheme="minorHAnsi"/>
        </w:rPr>
        <w:t xml:space="preserve"> (T</w:t>
      </w:r>
      <w:r w:rsidRPr="001B09E8">
        <w:rPr>
          <w:rStyle w:val="normaltextrun"/>
          <w:rFonts w:asciiTheme="minorHAnsi" w:hAnsiTheme="minorHAnsi" w:cstheme="minorHAnsi"/>
          <w:color w:val="000000"/>
        </w:rPr>
        <w:t>he terms of reference refer to the purpose of the report or why it was carried out)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75DF64BD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(c) </w:t>
      </w:r>
      <w:r w:rsidRPr="001B09E8">
        <w:rPr>
          <w:rStyle w:val="normaltextrun"/>
          <w:rFonts w:asciiTheme="minorHAnsi" w:hAnsiTheme="minorHAnsi" w:cstheme="minorHAnsi"/>
          <w:b/>
          <w:bCs/>
        </w:rPr>
        <w:t>Methodology:</w:t>
      </w:r>
      <w:r w:rsidRPr="001B09E8">
        <w:rPr>
          <w:rStyle w:val="normaltextrun"/>
          <w:rFonts w:asciiTheme="minorHAnsi" w:hAnsiTheme="minorHAnsi" w:cstheme="minorHAnsi"/>
        </w:rPr>
        <w:t xml:space="preserve"> (</w:t>
      </w:r>
      <w:r w:rsidRPr="001B09E8">
        <w:rPr>
          <w:rStyle w:val="normaltextrun"/>
          <w:rFonts w:asciiTheme="minorHAnsi" w:hAnsiTheme="minorHAnsi" w:cstheme="minorHAnsi"/>
          <w:color w:val="000000"/>
        </w:rPr>
        <w:t>This is how the report was carried out and should state what kind of research was done.  The methodology section can range in length from one sentence to a few short paragraphs.  The research must include one of the following: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1628AE9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</w:rPr>
      </w:pPr>
      <w:r w:rsidRPr="001B09E8">
        <w:rPr>
          <w:rStyle w:val="normaltextrun"/>
          <w:rFonts w:asciiTheme="minorHAnsi" w:hAnsiTheme="minorHAnsi" w:cstheme="minorHAnsi"/>
          <w:color w:val="000000"/>
        </w:rPr>
        <w:t>Surveys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31BE50CA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</w:rPr>
      </w:pPr>
      <w:r w:rsidRPr="001B09E8">
        <w:rPr>
          <w:rStyle w:val="normaltextrun"/>
          <w:rFonts w:asciiTheme="minorHAnsi" w:hAnsiTheme="minorHAnsi" w:cstheme="minorHAnsi"/>
          <w:color w:val="000000"/>
        </w:rPr>
        <w:t>Interviews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6D2E13D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</w:rPr>
      </w:pPr>
      <w:r w:rsidRPr="001B09E8">
        <w:rPr>
          <w:rStyle w:val="normaltextrun"/>
          <w:rFonts w:asciiTheme="minorHAnsi" w:hAnsiTheme="minorHAnsi" w:cstheme="minorHAnsi"/>
          <w:color w:val="000000"/>
        </w:rPr>
        <w:t>Questionnaires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1BBD3E9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</w:rPr>
      </w:pPr>
      <w:r w:rsidRPr="001B09E8">
        <w:rPr>
          <w:rStyle w:val="normaltextrun"/>
          <w:rFonts w:asciiTheme="minorHAnsi" w:hAnsiTheme="minorHAnsi" w:cstheme="minorHAnsi"/>
          <w:color w:val="000000"/>
        </w:rPr>
        <w:t>Secondary research from books, magazines, newspapers, libraries, internet…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4616BB9C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(d) </w:t>
      </w:r>
      <w:r w:rsidRPr="001B09E8">
        <w:rPr>
          <w:rStyle w:val="normaltextrun"/>
          <w:rFonts w:asciiTheme="minorHAnsi" w:hAnsiTheme="minorHAnsi" w:cstheme="minorHAnsi"/>
          <w:b/>
          <w:bCs/>
        </w:rPr>
        <w:t>Findings</w:t>
      </w:r>
      <w:r w:rsidRPr="001B09E8">
        <w:rPr>
          <w:rStyle w:val="normaltextrun"/>
          <w:rFonts w:asciiTheme="minorHAnsi" w:hAnsiTheme="minorHAnsi" w:cstheme="minorHAnsi"/>
        </w:rPr>
        <w:t xml:space="preserve">: </w:t>
      </w:r>
      <w:r w:rsidRPr="001B09E8">
        <w:rPr>
          <w:rStyle w:val="normaltextrun"/>
          <w:rFonts w:asciiTheme="minorHAnsi" w:hAnsiTheme="minorHAnsi" w:cstheme="minorHAnsi"/>
          <w:color w:val="000000"/>
        </w:rPr>
        <w:t>The results of the investigation are called the findings and they make up the main body of the report.  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71283592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(e) </w:t>
      </w:r>
      <w:r w:rsidRPr="001B09E8">
        <w:rPr>
          <w:rStyle w:val="normaltextrun"/>
          <w:rFonts w:asciiTheme="minorHAnsi" w:hAnsiTheme="minorHAnsi" w:cstheme="minorHAnsi"/>
          <w:b/>
          <w:bCs/>
        </w:rPr>
        <w:t>Conclusion</w:t>
      </w:r>
      <w:r w:rsidRPr="001B09E8">
        <w:rPr>
          <w:rStyle w:val="normaltextrun"/>
          <w:rFonts w:asciiTheme="minorHAnsi" w:hAnsiTheme="minorHAnsi" w:cstheme="minorHAnsi"/>
        </w:rPr>
        <w:t xml:space="preserve">: </w:t>
      </w:r>
      <w:r w:rsidRPr="001B09E8">
        <w:rPr>
          <w:rStyle w:val="normaltextrun"/>
          <w:rFonts w:asciiTheme="minorHAnsi" w:hAnsiTheme="minorHAnsi" w:cstheme="minorHAnsi"/>
          <w:color w:val="000000"/>
        </w:rPr>
        <w:t>These must be based on the findings.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1B09E8" w:rsidRDefault="00196DD8" w14:paraId="2E9C2371" w14:textId="77777777">
      <w:pPr>
        <w:pStyle w:val="paragraph"/>
        <w:spacing w:before="0" w:beforeAutospacing="0" w:after="0" w:afterAutospacing="0"/>
        <w:ind w:left="426" w:hanging="425"/>
        <w:textAlignment w:val="baseline"/>
        <w:rPr>
          <w:rFonts w:asciiTheme="minorHAnsi" w:hAnsiTheme="minorHAnsi" w:cstheme="minorHAnsi"/>
          <w:sz w:val="16"/>
          <w:szCs w:val="16"/>
        </w:rPr>
      </w:pPr>
      <w:r w:rsidRPr="001B09E8">
        <w:rPr>
          <w:rStyle w:val="normaltextrun"/>
          <w:rFonts w:asciiTheme="minorHAnsi" w:hAnsiTheme="minorHAnsi" w:cstheme="minorHAnsi"/>
        </w:rPr>
        <w:t xml:space="preserve">(f) </w:t>
      </w:r>
      <w:r w:rsidRPr="001B09E8">
        <w:rPr>
          <w:rStyle w:val="normaltextrun"/>
          <w:rFonts w:asciiTheme="minorHAnsi" w:hAnsiTheme="minorHAnsi" w:cstheme="minorHAnsi"/>
          <w:b/>
          <w:bCs/>
        </w:rPr>
        <w:t>Recommendation</w:t>
      </w:r>
      <w:r w:rsidRPr="001B09E8">
        <w:rPr>
          <w:rStyle w:val="normaltextrun"/>
          <w:rFonts w:asciiTheme="minorHAnsi" w:hAnsiTheme="minorHAnsi" w:cstheme="minorHAnsi"/>
        </w:rPr>
        <w:t>: R</w:t>
      </w:r>
      <w:r w:rsidRPr="001B09E8">
        <w:rPr>
          <w:rStyle w:val="normaltextrun"/>
          <w:rFonts w:asciiTheme="minorHAnsi" w:hAnsiTheme="minorHAnsi" w:cstheme="minorHAnsi"/>
          <w:color w:val="000000"/>
        </w:rPr>
        <w:t>ecommendations are practical suggestions by, you, the author based upon the findings and conclusions.</w:t>
      </w:r>
      <w:r w:rsidRPr="001B09E8">
        <w:rPr>
          <w:rStyle w:val="eop"/>
          <w:rFonts w:asciiTheme="minorHAnsi" w:hAnsiTheme="minorHAnsi" w:cstheme="minorHAnsi"/>
          <w:color w:val="000000"/>
        </w:rPr>
        <w:t> </w:t>
      </w:r>
    </w:p>
    <w:p w:rsidRPr="001B09E8" w:rsidR="00196DD8" w:rsidP="000A7552" w:rsidRDefault="00196DD8" w14:paraId="23ACFB6C" w14:textId="1310609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tbl>
      <w:tblPr>
        <w:tblW w:w="96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2126"/>
        <w:gridCol w:w="2117"/>
      </w:tblGrid>
      <w:tr w:rsidRPr="001B09E8" w:rsidR="000A7552" w:rsidTr="009B77D4" w14:paraId="11018DDE" w14:textId="77777777">
        <w:trPr>
          <w:trHeight w:val="345"/>
        </w:trPr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1B09E8" w:rsidR="000A7552" w:rsidP="000A7552" w:rsidRDefault="000A7552" w14:paraId="3F6C108B" w14:textId="7281F52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Assessment Criteria: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1B09E8" w:rsidR="000A7552" w:rsidP="000A7552" w:rsidRDefault="000A7552" w14:paraId="2FC37A9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Maximum Mark</w:t>
            </w:r>
            <w:r w:rsidRPr="001B09E8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1B09E8" w:rsidR="000A7552" w:rsidP="000A7552" w:rsidRDefault="000A7552" w14:paraId="7942C16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Learner Mark</w:t>
            </w:r>
            <w:r w:rsidRPr="001B09E8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</w:tr>
      <w:tr w:rsidRPr="001B09E8" w:rsidR="000A7552" w:rsidTr="009B77D4" w14:paraId="507D0720" w14:textId="77777777">
        <w:trPr>
          <w:trHeight w:val="360"/>
        </w:trPr>
        <w:tc>
          <w:tcPr>
            <w:tcW w:w="5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1B09E8" w:rsidR="000A7552" w:rsidP="000A7552" w:rsidRDefault="003A3A18" w14:paraId="03AC3938" w14:textId="640B80D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sz w:val="24"/>
                <w:szCs w:val="24"/>
                <w:lang w:eastAsia="en-IE"/>
              </w:rPr>
              <w:t>All learning outcomes have been achieved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1B09E8" w:rsidR="000A7552" w:rsidP="009B77D4" w:rsidRDefault="001F4418" w14:paraId="011BDC55" w14:textId="4CBDDD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  <w:t>Successful</w:t>
            </w:r>
          </w:p>
        </w:tc>
        <w:tc>
          <w:tcPr>
            <w:tcW w:w="2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1B09E8" w:rsidR="000A7552" w:rsidP="003A3A18" w:rsidRDefault="000A7552" w14:paraId="24E06B3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1B09E8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</w:tr>
    </w:tbl>
    <w:p w:rsidRPr="001B09E8" w:rsidR="005F492E" w:rsidRDefault="005F492E" w14:paraId="4E87DC60" w14:textId="77FD2971">
      <w:pPr>
        <w:rPr>
          <w:rFonts w:cstheme="minorHAnsi"/>
          <w:sz w:val="24"/>
          <w:szCs w:val="24"/>
        </w:rPr>
      </w:pPr>
      <w:r w:rsidRPr="001B09E8">
        <w:rPr>
          <w:rFonts w:cstheme="minorHAnsi"/>
          <w:sz w:val="24"/>
          <w:szCs w:val="24"/>
        </w:rPr>
        <w:br w:type="page"/>
      </w:r>
    </w:p>
    <w:p w:rsidRPr="001B09E8" w:rsidR="003A3A18" w:rsidP="00196DD8" w:rsidRDefault="003A3A18" w14:paraId="67D5FC01" w14:textId="0317168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B09E8">
        <w:rPr>
          <w:rFonts w:cstheme="minorHAnsi"/>
          <w:b/>
          <w:bCs/>
          <w:sz w:val="24"/>
          <w:szCs w:val="24"/>
        </w:rPr>
        <w:t>Feedback on 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B09E8" w:rsidR="003A3A18" w:rsidTr="003A3A18" w14:paraId="222B7F22" w14:textId="77777777">
        <w:tc>
          <w:tcPr>
            <w:tcW w:w="9628" w:type="dxa"/>
          </w:tcPr>
          <w:p w:rsidRPr="001B09E8" w:rsidR="003A3A18" w:rsidP="00196DD8" w:rsidRDefault="003A3A18" w14:paraId="2AACC116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5CA0C57A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04F1E47D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3330B002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5508323C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5176B7EF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5A18B427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7E33D4E5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06237104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3637127C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44C02D4E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05E3CF0B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4F3666E8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03B31D78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4B1FD1DD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3821742C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2693FE30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74841E78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7598EBFA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06357D0B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27664FE9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77B4EA32" w14:textId="777777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Pr="001B09E8" w:rsidR="003A3A18" w:rsidP="00196DD8" w:rsidRDefault="003A3A18" w14:paraId="3CC30F37" w14:textId="473AECE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Pr="001B09E8" w:rsidR="009B77D4" w:rsidP="001364BF" w:rsidRDefault="009B77D4" w14:paraId="4F9587E0" w14:textId="77777777">
      <w:pPr>
        <w:spacing w:line="360" w:lineRule="auto"/>
        <w:rPr>
          <w:rFonts w:cstheme="minorHAnsi"/>
          <w:sz w:val="24"/>
          <w:szCs w:val="24"/>
        </w:rPr>
      </w:pPr>
    </w:p>
    <w:sectPr w:rsidRPr="001B09E8" w:rsidR="009B77D4" w:rsidSect="001B09E8">
      <w:headerReference w:type="default" r:id="rId11"/>
      <w:pgSz w:w="11906" w:h="16838" w:orient="portrait"/>
      <w:pgMar w:top="1134" w:right="1134" w:bottom="709" w:left="1134" w:header="708" w:footer="708" w:gutter="0"/>
      <w:cols w:space="708"/>
      <w:docGrid w:linePitch="360"/>
      <w:footerReference w:type="default" r:id="R236c2a9786b148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162" w:rsidP="00AC0735" w:rsidRDefault="00137162" w14:paraId="210F38EC" w14:textId="77777777">
      <w:pPr>
        <w:spacing w:after="0" w:line="240" w:lineRule="auto"/>
      </w:pPr>
      <w:r>
        <w:separator/>
      </w:r>
    </w:p>
  </w:endnote>
  <w:endnote w:type="continuationSeparator" w:id="0">
    <w:p w:rsidR="00137162" w:rsidP="00AC0735" w:rsidRDefault="00137162" w14:paraId="18DA5D17" w14:textId="77777777">
      <w:pPr>
        <w:spacing w:after="0" w:line="240" w:lineRule="auto"/>
      </w:pPr>
      <w:r>
        <w:continuationSeparator/>
      </w:r>
    </w:p>
  </w:endnote>
  <w:endnote w:type="continuationNotice" w:id="1">
    <w:p w:rsidR="00872C0B" w:rsidRDefault="00872C0B" w14:paraId="74A72D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709A99" w:rsidTr="36709A99" w14:paraId="50D4333D">
      <w:trPr>
        <w:trHeight w:val="300"/>
      </w:trPr>
      <w:tc>
        <w:tcPr>
          <w:tcW w:w="3210" w:type="dxa"/>
          <w:tcMar/>
        </w:tcPr>
        <w:p w:rsidR="36709A99" w:rsidP="36709A99" w:rsidRDefault="36709A99" w14:paraId="0AE1CCAE" w14:textId="5D80C90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6709A99" w:rsidP="36709A99" w:rsidRDefault="36709A99" w14:paraId="7A909CF5" w14:textId="45293FC4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6709A99" w:rsidP="36709A99" w:rsidRDefault="36709A99" w14:paraId="5D25FC30" w14:textId="1C2FC783">
          <w:pPr>
            <w:pStyle w:val="Header"/>
            <w:bidi w:val="0"/>
            <w:ind w:right="-115"/>
            <w:jc w:val="right"/>
          </w:pPr>
        </w:p>
      </w:tc>
    </w:tr>
  </w:tbl>
  <w:p w:rsidR="36709A99" w:rsidP="36709A99" w:rsidRDefault="36709A99" w14:paraId="0D3D3036" w14:textId="19797A4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162" w:rsidP="00AC0735" w:rsidRDefault="00137162" w14:paraId="083D7B44" w14:textId="77777777">
      <w:pPr>
        <w:spacing w:after="0" w:line="240" w:lineRule="auto"/>
      </w:pPr>
      <w:r>
        <w:separator/>
      </w:r>
    </w:p>
  </w:footnote>
  <w:footnote w:type="continuationSeparator" w:id="0">
    <w:p w:rsidR="00137162" w:rsidP="00AC0735" w:rsidRDefault="00137162" w14:paraId="7848A947" w14:textId="77777777">
      <w:pPr>
        <w:spacing w:after="0" w:line="240" w:lineRule="auto"/>
      </w:pPr>
      <w:r>
        <w:continuationSeparator/>
      </w:r>
    </w:p>
  </w:footnote>
  <w:footnote w:type="continuationNotice" w:id="1">
    <w:p w:rsidR="00872C0B" w:rsidRDefault="00872C0B" w14:paraId="0C7477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C0735" w:rsidR="00AC0735" w:rsidP="00AC0735" w:rsidRDefault="00AC0735" w14:paraId="5645B26D" w14:textId="1192DF33">
    <w:pPr>
      <w:ind w:left="2160" w:firstLine="720"/>
      <w:rPr>
        <w:b w:val="1"/>
        <w:bCs w:val="1"/>
        <w:color w:val="385623" w:themeColor="accent6" w:themeShade="80"/>
        <w:sz w:val="40"/>
        <w:szCs w:val="40"/>
      </w:rPr>
    </w:pPr>
    <w:r w:rsidRPr="00AC0735">
      <w:rPr>
        <w:noProof/>
      </w:rPr>
      <w:drawing>
        <wp:anchor distT="0" distB="0" distL="114300" distR="114300" simplePos="0" relativeHeight="251658240" behindDoc="0" locked="0" layoutInCell="1" allowOverlap="1" wp14:anchorId="1F2B43D6" wp14:editId="59028631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426210" cy="464820"/>
          <wp:effectExtent l="0" t="0" r="2540" b="0"/>
          <wp:wrapThrough wrapText="bothSides">
            <wp:wrapPolygon edited="0">
              <wp:start x="2597" y="0"/>
              <wp:lineTo x="0" y="885"/>
              <wp:lineTo x="0" y="16820"/>
              <wp:lineTo x="1443" y="20361"/>
              <wp:lineTo x="2597" y="20361"/>
              <wp:lineTo x="4039" y="20361"/>
              <wp:lineTo x="21350" y="16820"/>
              <wp:lineTo x="21350" y="1770"/>
              <wp:lineTo x="4328" y="0"/>
              <wp:lineTo x="2597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0735" w:rsidR="36709A99">
      <w:rPr>
        <w:b w:val="1"/>
        <w:bCs w:val="1"/>
        <w:color w:val="385623" w:themeColor="accent6" w:themeShade="80"/>
        <w:sz w:val="40"/>
        <w:szCs w:val="40"/>
      </w:rPr>
      <w:t>Assessment Brief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031"/>
    <w:multiLevelType w:val="multilevel"/>
    <w:tmpl w:val="223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D22FDD"/>
    <w:multiLevelType w:val="multilevel"/>
    <w:tmpl w:val="CBD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180DC9"/>
    <w:multiLevelType w:val="multilevel"/>
    <w:tmpl w:val="10BA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C9A17E8"/>
    <w:multiLevelType w:val="multilevel"/>
    <w:tmpl w:val="AC9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8BC2957"/>
    <w:multiLevelType w:val="multilevel"/>
    <w:tmpl w:val="5052C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5C335476"/>
    <w:multiLevelType w:val="multilevel"/>
    <w:tmpl w:val="EE9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14C78F7"/>
    <w:multiLevelType w:val="multilevel"/>
    <w:tmpl w:val="E35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2645B78"/>
    <w:multiLevelType w:val="multilevel"/>
    <w:tmpl w:val="A1B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3EC16EB"/>
    <w:multiLevelType w:val="multilevel"/>
    <w:tmpl w:val="E9B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DA6BCF"/>
    <w:multiLevelType w:val="hybridMultilevel"/>
    <w:tmpl w:val="C8F28C90"/>
    <w:lvl w:ilvl="0" w:tplc="065C7AB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931464"/>
    <w:multiLevelType w:val="hybridMultilevel"/>
    <w:tmpl w:val="F6387202"/>
    <w:lvl w:ilvl="0" w:tplc="68DA03A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A2F6454"/>
    <w:multiLevelType w:val="multilevel"/>
    <w:tmpl w:val="66F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E587630"/>
    <w:multiLevelType w:val="multilevel"/>
    <w:tmpl w:val="D4B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17E3B2B"/>
    <w:multiLevelType w:val="multilevel"/>
    <w:tmpl w:val="1B8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D8"/>
    <w:rsid w:val="000A7552"/>
    <w:rsid w:val="00101707"/>
    <w:rsid w:val="001364BF"/>
    <w:rsid w:val="00137162"/>
    <w:rsid w:val="00196DD8"/>
    <w:rsid w:val="001B09E8"/>
    <w:rsid w:val="001F4418"/>
    <w:rsid w:val="00226E44"/>
    <w:rsid w:val="002469C8"/>
    <w:rsid w:val="00281A5D"/>
    <w:rsid w:val="003844DD"/>
    <w:rsid w:val="003A3A18"/>
    <w:rsid w:val="004176BA"/>
    <w:rsid w:val="005F492E"/>
    <w:rsid w:val="00872C0B"/>
    <w:rsid w:val="009014B8"/>
    <w:rsid w:val="009B77D4"/>
    <w:rsid w:val="00AC0735"/>
    <w:rsid w:val="00B14E3F"/>
    <w:rsid w:val="00B85754"/>
    <w:rsid w:val="00CD06A6"/>
    <w:rsid w:val="00F45EC9"/>
    <w:rsid w:val="1DE12D1E"/>
    <w:rsid w:val="36709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856C1"/>
  <w15:chartTrackingRefBased/>
  <w15:docId w15:val="{7DFAD853-9862-4FB0-A2AF-731A397B7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6D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196DD8"/>
  </w:style>
  <w:style w:type="paragraph" w:styleId="paragraph" w:customStyle="1">
    <w:name w:val="paragraph"/>
    <w:basedOn w:val="Normal"/>
    <w:rsid w:val="00196D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eop" w:customStyle="1">
    <w:name w:val="eop"/>
    <w:basedOn w:val="DefaultParagraphFont"/>
    <w:rsid w:val="00196DD8"/>
  </w:style>
  <w:style w:type="paragraph" w:styleId="Header">
    <w:name w:val="header"/>
    <w:basedOn w:val="Normal"/>
    <w:link w:val="HeaderChar"/>
    <w:uiPriority w:val="99"/>
    <w:unhideWhenUsed/>
    <w:rsid w:val="00AC07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0735"/>
  </w:style>
  <w:style w:type="paragraph" w:styleId="Footer">
    <w:name w:val="footer"/>
    <w:basedOn w:val="Normal"/>
    <w:link w:val="FooterChar"/>
    <w:uiPriority w:val="99"/>
    <w:unhideWhenUsed/>
    <w:rsid w:val="00AC07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0735"/>
  </w:style>
  <w:style w:type="paragraph" w:styleId="ListParagraph">
    <w:name w:val="List Paragraph"/>
    <w:basedOn w:val="Normal"/>
    <w:uiPriority w:val="34"/>
    <w:qFormat/>
    <w:rsid w:val="00AC0735"/>
    <w:pPr>
      <w:ind w:left="720"/>
      <w:contextualSpacing/>
    </w:pPr>
  </w:style>
  <w:style w:type="table" w:styleId="TableGrid">
    <w:name w:val="Table Grid"/>
    <w:basedOn w:val="TableNormal"/>
    <w:uiPriority w:val="39"/>
    <w:rsid w:val="00AC07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236c2a9786b148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4911916C-6EC6-47D0-B3CC-E492A59E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A7CC3-74A4-43FA-8BBF-F945F4DF7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9409A-08F7-4773-86AD-0A3C7D3D0552}">
  <ds:schemaRefs>
    <ds:schemaRef ds:uri="7a59fc8e-9142-4894-a20a-b7ef6a0b834d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documentManagement/types"/>
    <ds:schemaRef ds:uri="80ce844a-3414-47bc-be42-35076de08631"/>
    <ds:schemaRef ds:uri="http://schemas.microsoft.com/office/2006/metadata/properties"/>
    <ds:schemaRef ds:uri="http://purl.org/dc/terms/"/>
    <ds:schemaRef ds:uri="f19a456c-05b6-4807-b724-60ac1e17b13f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Vivienne Keenan</dc:creator>
  <keywords/>
  <dc:description/>
  <lastModifiedBy>Anne Marie Keane</lastModifiedBy>
  <revision>13</revision>
  <dcterms:created xsi:type="dcterms:W3CDTF">2024-06-13T09:36:00.0000000Z</dcterms:created>
  <dcterms:modified xsi:type="dcterms:W3CDTF">2024-08-15T17:23:43.8136227Z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